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523D82" w:rsidRPr="005A46FC" w14:paraId="60822C30" w14:textId="77777777" w:rsidTr="00D25CB4">
        <w:tc>
          <w:tcPr>
            <w:tcW w:w="4786" w:type="dxa"/>
            <w:hideMark/>
          </w:tcPr>
          <w:p w14:paraId="65E454B1" w14:textId="77777777" w:rsidR="007E1D85" w:rsidRPr="00387A7E" w:rsidRDefault="007E1D85" w:rsidP="00547A4A">
            <w:pPr>
              <w:widowControl w:val="0"/>
              <w:spacing w:after="0" w:line="240" w:lineRule="auto"/>
              <w:jc w:val="both"/>
              <w:rPr>
                <w:rFonts w:ascii="Times New Roman" w:eastAsia="Batang" w:hAnsi="Times New Roman"/>
                <w:snapToGrid w:val="0"/>
                <w:sz w:val="24"/>
                <w:szCs w:val="24"/>
                <w:lang w:val="en-US" w:eastAsia="ru-RU"/>
              </w:rPr>
            </w:pPr>
            <w:r w:rsidRPr="00387A7E">
              <w:rPr>
                <w:rFonts w:ascii="Times New Roman" w:eastAsia="Batang" w:hAnsi="Times New Roman"/>
                <w:snapToGrid w:val="0"/>
                <w:sz w:val="24"/>
                <w:szCs w:val="24"/>
                <w:lang w:eastAsia="ru-RU"/>
              </w:rPr>
              <w:t xml:space="preserve">               </w:t>
            </w:r>
          </w:p>
        </w:tc>
        <w:tc>
          <w:tcPr>
            <w:tcW w:w="4536" w:type="dxa"/>
            <w:hideMark/>
          </w:tcPr>
          <w:p w14:paraId="039204E3" w14:textId="77777777" w:rsidR="006A475E" w:rsidRPr="005A46FC" w:rsidRDefault="006A475E" w:rsidP="006A475E">
            <w:pPr>
              <w:widowControl w:val="0"/>
              <w:spacing w:after="0" w:line="240" w:lineRule="auto"/>
              <w:rPr>
                <w:rFonts w:ascii="Times New Roman" w:eastAsia="Times New Roman" w:hAnsi="Times New Roman"/>
                <w:b/>
                <w:snapToGrid w:val="0"/>
                <w:sz w:val="24"/>
                <w:szCs w:val="24"/>
                <w:lang w:eastAsia="ru-RU"/>
              </w:rPr>
            </w:pPr>
            <w:r w:rsidRPr="005A46FC">
              <w:rPr>
                <w:rFonts w:ascii="Times New Roman" w:eastAsia="Times New Roman" w:hAnsi="Times New Roman"/>
                <w:b/>
                <w:snapToGrid w:val="0"/>
                <w:sz w:val="24"/>
                <w:szCs w:val="24"/>
                <w:lang w:eastAsia="ru-RU"/>
              </w:rPr>
              <w:t>УТВЕРЖДЕНА</w:t>
            </w:r>
          </w:p>
          <w:p w14:paraId="13D2323D" w14:textId="77777777" w:rsidR="006A475E" w:rsidRPr="005A46FC" w:rsidRDefault="006A475E" w:rsidP="006A475E">
            <w:pPr>
              <w:widowControl w:val="0"/>
              <w:spacing w:after="0" w:line="240" w:lineRule="auto"/>
              <w:rPr>
                <w:rFonts w:ascii="Times New Roman" w:eastAsia="Times New Roman" w:hAnsi="Times New Roman"/>
                <w:snapToGrid w:val="0"/>
                <w:sz w:val="24"/>
                <w:szCs w:val="24"/>
                <w:lang w:eastAsia="ru-RU"/>
              </w:rPr>
            </w:pPr>
            <w:r w:rsidRPr="005A46FC">
              <w:rPr>
                <w:rFonts w:ascii="Times New Roman" w:eastAsia="Times New Roman" w:hAnsi="Times New Roman"/>
                <w:snapToGrid w:val="0"/>
                <w:sz w:val="24"/>
                <w:szCs w:val="24"/>
                <w:lang w:eastAsia="ru-RU"/>
              </w:rPr>
              <w:t xml:space="preserve">Приказом Председателя </w:t>
            </w:r>
          </w:p>
          <w:p w14:paraId="01DE035D" w14:textId="77777777" w:rsidR="006A475E" w:rsidRPr="005A46FC" w:rsidRDefault="006A475E" w:rsidP="006A475E">
            <w:pPr>
              <w:widowControl w:val="0"/>
              <w:spacing w:after="0" w:line="240" w:lineRule="auto"/>
              <w:rPr>
                <w:rFonts w:ascii="Times New Roman" w:eastAsia="Times New Roman" w:hAnsi="Times New Roman"/>
                <w:snapToGrid w:val="0"/>
                <w:sz w:val="24"/>
                <w:szCs w:val="24"/>
                <w:lang w:eastAsia="ru-RU"/>
              </w:rPr>
            </w:pPr>
            <w:r w:rsidRPr="005A46FC">
              <w:rPr>
                <w:rFonts w:ascii="Times New Roman" w:eastAsia="Times New Roman" w:hAnsi="Times New Roman"/>
                <w:snapToGrid w:val="0"/>
                <w:sz w:val="24"/>
                <w:szCs w:val="24"/>
                <w:lang w:eastAsia="ru-RU"/>
              </w:rPr>
              <w:t xml:space="preserve">РГУ «Комитет  медицинского и фармацевтического контроля  Министерства здравоохранения </w:t>
            </w:r>
          </w:p>
          <w:p w14:paraId="3D33B8EA" w14:textId="77777777" w:rsidR="006A475E" w:rsidRPr="005A46FC" w:rsidRDefault="006A475E" w:rsidP="006A475E">
            <w:pPr>
              <w:widowControl w:val="0"/>
              <w:spacing w:after="0" w:line="240" w:lineRule="auto"/>
              <w:rPr>
                <w:rFonts w:ascii="Times New Roman" w:eastAsia="Times New Roman" w:hAnsi="Times New Roman"/>
                <w:snapToGrid w:val="0"/>
                <w:sz w:val="24"/>
                <w:szCs w:val="24"/>
                <w:lang w:eastAsia="ru-RU"/>
              </w:rPr>
            </w:pPr>
            <w:r w:rsidRPr="005A46FC">
              <w:rPr>
                <w:rFonts w:ascii="Times New Roman" w:eastAsia="Times New Roman" w:hAnsi="Times New Roman"/>
                <w:snapToGrid w:val="0"/>
                <w:sz w:val="24"/>
                <w:szCs w:val="24"/>
                <w:lang w:eastAsia="ru-RU"/>
              </w:rPr>
              <w:t>Республики Казахстан»</w:t>
            </w:r>
          </w:p>
          <w:p w14:paraId="0449B059" w14:textId="040702A0" w:rsidR="006A475E" w:rsidRPr="005A46FC" w:rsidRDefault="006A475E" w:rsidP="006A475E">
            <w:pPr>
              <w:widowControl w:val="0"/>
              <w:spacing w:after="0" w:line="240" w:lineRule="auto"/>
              <w:rPr>
                <w:rFonts w:ascii="Times New Roman" w:eastAsia="Times New Roman" w:hAnsi="Times New Roman"/>
                <w:snapToGrid w:val="0"/>
                <w:sz w:val="24"/>
                <w:szCs w:val="24"/>
                <w:lang w:eastAsia="ru-RU"/>
              </w:rPr>
            </w:pPr>
            <w:r w:rsidRPr="005A46FC">
              <w:rPr>
                <w:rFonts w:ascii="Times New Roman" w:eastAsia="Times New Roman" w:hAnsi="Times New Roman"/>
                <w:snapToGrid w:val="0"/>
                <w:sz w:val="24"/>
                <w:szCs w:val="24"/>
                <w:lang w:eastAsia="ru-RU"/>
              </w:rPr>
              <w:t>от «</w:t>
            </w:r>
            <w:r w:rsidR="00FB23F7">
              <w:rPr>
                <w:rFonts w:ascii="Times New Roman" w:eastAsia="Times New Roman" w:hAnsi="Times New Roman"/>
                <w:snapToGrid w:val="0"/>
                <w:sz w:val="24"/>
                <w:szCs w:val="24"/>
                <w:lang w:eastAsia="ru-RU"/>
              </w:rPr>
              <w:t>03</w:t>
            </w:r>
            <w:r w:rsidRPr="005A46FC">
              <w:rPr>
                <w:rFonts w:ascii="Times New Roman" w:eastAsia="Times New Roman" w:hAnsi="Times New Roman"/>
                <w:snapToGrid w:val="0"/>
                <w:sz w:val="24"/>
                <w:szCs w:val="24"/>
                <w:lang w:eastAsia="ru-RU"/>
              </w:rPr>
              <w:t>»</w:t>
            </w:r>
            <w:r w:rsidR="00FB23F7">
              <w:rPr>
                <w:rFonts w:ascii="Times New Roman" w:eastAsia="Times New Roman" w:hAnsi="Times New Roman"/>
                <w:snapToGrid w:val="0"/>
                <w:sz w:val="24"/>
                <w:szCs w:val="24"/>
                <w:lang w:eastAsia="ru-RU"/>
              </w:rPr>
              <w:t xml:space="preserve">   02    </w:t>
            </w:r>
            <w:r w:rsidRPr="005A46FC">
              <w:rPr>
                <w:rFonts w:ascii="Times New Roman" w:eastAsia="Times New Roman" w:hAnsi="Times New Roman"/>
                <w:snapToGrid w:val="0"/>
                <w:sz w:val="24"/>
                <w:szCs w:val="24"/>
                <w:lang w:eastAsia="ru-RU"/>
              </w:rPr>
              <w:t>20</w:t>
            </w:r>
            <w:r w:rsidR="00FB23F7">
              <w:rPr>
                <w:rFonts w:ascii="Times New Roman" w:eastAsia="Times New Roman" w:hAnsi="Times New Roman"/>
                <w:snapToGrid w:val="0"/>
                <w:sz w:val="24"/>
                <w:szCs w:val="24"/>
                <w:lang w:eastAsia="ru-RU"/>
              </w:rPr>
              <w:t xml:space="preserve">25 </w:t>
            </w:r>
            <w:r w:rsidRPr="005A46FC">
              <w:rPr>
                <w:rFonts w:ascii="Times New Roman" w:eastAsia="Times New Roman" w:hAnsi="Times New Roman"/>
                <w:snapToGrid w:val="0"/>
                <w:sz w:val="24"/>
                <w:szCs w:val="24"/>
                <w:lang w:eastAsia="ru-RU"/>
              </w:rPr>
              <w:t>г.</w:t>
            </w:r>
          </w:p>
          <w:p w14:paraId="19FEE774" w14:textId="14C7DEB9" w:rsidR="00523D82" w:rsidRPr="00FB23F7" w:rsidRDefault="006A475E" w:rsidP="006A475E">
            <w:pPr>
              <w:widowControl w:val="0"/>
              <w:spacing w:after="0" w:line="240" w:lineRule="auto"/>
              <w:rPr>
                <w:rFonts w:ascii="Times New Roman" w:eastAsia="Batang" w:hAnsi="Times New Roman"/>
                <w:snapToGrid w:val="0"/>
                <w:sz w:val="24"/>
                <w:szCs w:val="24"/>
                <w:lang w:eastAsia="ru-RU"/>
              </w:rPr>
            </w:pPr>
            <w:r w:rsidRPr="005A46FC">
              <w:rPr>
                <w:rFonts w:ascii="Times New Roman" w:eastAsia="Times New Roman" w:hAnsi="Times New Roman"/>
                <w:snapToGrid w:val="0"/>
                <w:sz w:val="24"/>
                <w:szCs w:val="24"/>
                <w:lang w:eastAsia="ru-RU"/>
              </w:rPr>
              <w:t>№</w:t>
            </w:r>
            <w:r w:rsidR="00FB23F7">
              <w:rPr>
                <w:rFonts w:ascii="Times New Roman" w:eastAsia="Times New Roman" w:hAnsi="Times New Roman"/>
                <w:snapToGrid w:val="0"/>
                <w:sz w:val="24"/>
                <w:szCs w:val="24"/>
                <w:lang w:val="en-US" w:eastAsia="ru-RU"/>
              </w:rPr>
              <w:t>N083401</w:t>
            </w:r>
          </w:p>
        </w:tc>
        <w:tc>
          <w:tcPr>
            <w:tcW w:w="4536" w:type="dxa"/>
          </w:tcPr>
          <w:p w14:paraId="63020B8E" w14:textId="77777777" w:rsidR="00523D82" w:rsidRPr="005A46FC"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5A46FC">
              <w:rPr>
                <w:rFonts w:ascii="Times New Roman" w:eastAsia="Times New Roman" w:hAnsi="Times New Roman"/>
                <w:b/>
                <w:snapToGrid w:val="0"/>
                <w:sz w:val="24"/>
                <w:szCs w:val="24"/>
                <w:lang w:eastAsia="ru-RU"/>
              </w:rPr>
              <w:t xml:space="preserve"> </w:t>
            </w:r>
          </w:p>
        </w:tc>
      </w:tr>
      <w:tr w:rsidR="00523D82" w:rsidRPr="005A46FC" w14:paraId="5266775C" w14:textId="77777777" w:rsidTr="00D25CB4">
        <w:tc>
          <w:tcPr>
            <w:tcW w:w="4786" w:type="dxa"/>
          </w:tcPr>
          <w:p w14:paraId="7CE612F6" w14:textId="77777777" w:rsidR="00523D82" w:rsidRPr="005A46FC"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21726C4B" w14:textId="77777777" w:rsidR="00523D82" w:rsidRPr="005A46FC"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3DB135B7" w14:textId="77777777" w:rsidR="00523D82" w:rsidRPr="005A46FC"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3FFDE202" w14:textId="77777777" w:rsidR="00280121" w:rsidRPr="005A46FC"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14:paraId="09D43B8D" w14:textId="77777777" w:rsidR="00D76048" w:rsidRPr="005A46FC" w:rsidRDefault="00506C9D" w:rsidP="0078568D">
      <w:pPr>
        <w:autoSpaceDE w:val="0"/>
        <w:autoSpaceDN w:val="0"/>
        <w:spacing w:after="0" w:line="240" w:lineRule="auto"/>
        <w:jc w:val="center"/>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ОБЩАЯ ХАРАКТЕРИСТИКА ЛЕКАРСТВЕННОГО ПРЕПАРАТА</w:t>
      </w:r>
    </w:p>
    <w:p w14:paraId="2DFD3504" w14:textId="77777777" w:rsidR="00372082" w:rsidRPr="005A46FC"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65E7950C" w14:textId="77777777" w:rsidR="00280121" w:rsidRPr="005A46FC" w:rsidRDefault="00DB406A" w:rsidP="0078568D">
      <w:pPr>
        <w:autoSpaceDE w:val="0"/>
        <w:autoSpaceDN w:val="0"/>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 xml:space="preserve">1. </w:t>
      </w:r>
      <w:r w:rsidR="00280121" w:rsidRPr="005A46FC">
        <w:rPr>
          <w:rFonts w:ascii="Times New Roman" w:eastAsia="Times New Roman" w:hAnsi="Times New Roman" w:hint="eastAsia"/>
          <w:b/>
          <w:sz w:val="24"/>
          <w:szCs w:val="24"/>
          <w:lang w:eastAsia="ru-RU"/>
        </w:rPr>
        <w:t>НАИМЕНОВАНИЕ</w:t>
      </w:r>
      <w:r w:rsidR="00280121" w:rsidRPr="005A46FC">
        <w:rPr>
          <w:rFonts w:ascii="Times New Roman" w:eastAsia="Times New Roman" w:hAnsi="Times New Roman"/>
          <w:b/>
          <w:sz w:val="24"/>
          <w:szCs w:val="24"/>
          <w:lang w:eastAsia="ru-RU"/>
        </w:rPr>
        <w:t xml:space="preserve"> </w:t>
      </w:r>
      <w:r w:rsidR="00280121" w:rsidRPr="005A46FC">
        <w:rPr>
          <w:rFonts w:ascii="Times New Roman" w:eastAsia="Times New Roman" w:hAnsi="Times New Roman" w:hint="eastAsia"/>
          <w:b/>
          <w:sz w:val="24"/>
          <w:szCs w:val="24"/>
          <w:lang w:eastAsia="ru-RU"/>
        </w:rPr>
        <w:t>ЛЕКАРСТВЕННОГО</w:t>
      </w:r>
      <w:r w:rsidR="00280121" w:rsidRPr="005A46FC">
        <w:rPr>
          <w:rFonts w:ascii="Times New Roman" w:eastAsia="Times New Roman" w:hAnsi="Times New Roman"/>
          <w:b/>
          <w:sz w:val="24"/>
          <w:szCs w:val="24"/>
          <w:lang w:eastAsia="ru-RU"/>
        </w:rPr>
        <w:t xml:space="preserve"> </w:t>
      </w:r>
      <w:r w:rsidR="00280121" w:rsidRPr="005A46FC">
        <w:rPr>
          <w:rFonts w:ascii="Times New Roman" w:eastAsia="Times New Roman" w:hAnsi="Times New Roman" w:hint="eastAsia"/>
          <w:b/>
          <w:sz w:val="24"/>
          <w:szCs w:val="24"/>
          <w:lang w:eastAsia="ru-RU"/>
        </w:rPr>
        <w:t>ПРЕПАРАТА</w:t>
      </w:r>
    </w:p>
    <w:p w14:paraId="004DC8DA" w14:textId="77777777" w:rsidR="001872CE" w:rsidRPr="005A46FC" w:rsidRDefault="00A803A1" w:rsidP="0078568D">
      <w:pPr>
        <w:autoSpaceDE w:val="0"/>
        <w:autoSpaceDN w:val="0"/>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Бидифоа, 4 мг, 10 мг, капсулы</w:t>
      </w:r>
    </w:p>
    <w:p w14:paraId="431EFE5B" w14:textId="77777777" w:rsidR="00B01011" w:rsidRPr="005A46FC" w:rsidRDefault="00B01011" w:rsidP="0078568D">
      <w:pPr>
        <w:autoSpaceDE w:val="0"/>
        <w:autoSpaceDN w:val="0"/>
        <w:spacing w:after="0" w:line="240" w:lineRule="auto"/>
        <w:jc w:val="both"/>
        <w:rPr>
          <w:rFonts w:ascii="Times New Roman" w:eastAsia="Times New Roman" w:hAnsi="Times New Roman"/>
          <w:sz w:val="24"/>
          <w:szCs w:val="24"/>
          <w:lang w:eastAsia="ru-RU"/>
        </w:rPr>
      </w:pPr>
    </w:p>
    <w:p w14:paraId="1710B484" w14:textId="77777777" w:rsidR="003C07E3" w:rsidRPr="005A46FC" w:rsidRDefault="003C07E3" w:rsidP="0078568D">
      <w:pPr>
        <w:spacing w:after="0" w:line="240" w:lineRule="auto"/>
        <w:jc w:val="both"/>
        <w:rPr>
          <w:sz w:val="24"/>
          <w:szCs w:val="24"/>
        </w:rPr>
      </w:pPr>
      <w:bookmarkStart w:id="0" w:name="2175220285"/>
      <w:bookmarkStart w:id="1" w:name="OCRUncertain022"/>
      <w:r w:rsidRPr="005A46FC">
        <w:rPr>
          <w:rFonts w:ascii="Times New Roman" w:eastAsia="Times New Roman" w:hAnsi="Times New Roman"/>
          <w:b/>
          <w:sz w:val="24"/>
          <w:szCs w:val="24"/>
          <w:lang w:eastAsia="ru-RU"/>
        </w:rPr>
        <w:t xml:space="preserve">2. </w:t>
      </w:r>
      <w:r w:rsidR="00280121" w:rsidRPr="005A46FC">
        <w:rPr>
          <w:rFonts w:ascii="Times New Roman" w:eastAsia="Times New Roman" w:hAnsi="Times New Roman"/>
          <w:b/>
          <w:sz w:val="24"/>
          <w:szCs w:val="24"/>
          <w:lang w:eastAsia="ru-RU"/>
        </w:rPr>
        <w:t>КАЧЕСТВЕННЫЙ И КОЛИЧЕСТВЕННЫЙ СОСТАВ</w:t>
      </w:r>
    </w:p>
    <w:bookmarkEnd w:id="0"/>
    <w:p w14:paraId="76E9EA71" w14:textId="77777777" w:rsidR="001872CE" w:rsidRPr="005A46FC" w:rsidRDefault="001872CE"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eastAsia="ru-RU"/>
        </w:rPr>
      </w:pPr>
      <w:r w:rsidRPr="005A46FC">
        <w:rPr>
          <w:rFonts w:ascii="Times New Roman" w:eastAsia="TimesNewRomanPSMT" w:hAnsi="Times New Roman"/>
          <w:b/>
          <w:sz w:val="24"/>
          <w:szCs w:val="24"/>
          <w:lang w:eastAsia="ru-RU"/>
        </w:rPr>
        <w:t>2.1 Общее описание</w:t>
      </w:r>
      <w:r w:rsidRPr="005A46FC">
        <w:rPr>
          <w:rFonts w:ascii="Times New Roman" w:eastAsia="Times New Roman" w:hAnsi="Times New Roman"/>
          <w:b/>
          <w:bCs/>
          <w:sz w:val="24"/>
          <w:szCs w:val="24"/>
          <w:lang w:eastAsia="ru-RU"/>
        </w:rPr>
        <w:t xml:space="preserve"> </w:t>
      </w:r>
    </w:p>
    <w:p w14:paraId="06D3DDA0" w14:textId="77777777" w:rsidR="00D60C5A" w:rsidRPr="005A46FC" w:rsidRDefault="00A803A1" w:rsidP="009A645B">
      <w:pPr>
        <w:widowControl w:val="0"/>
        <w:autoSpaceDE w:val="0"/>
        <w:autoSpaceDN w:val="0"/>
        <w:spacing w:after="0" w:line="240" w:lineRule="auto"/>
        <w:ind w:left="2977" w:hanging="2977"/>
        <w:rPr>
          <w:rFonts w:ascii="Times New Roman" w:eastAsia="Times New Roman" w:hAnsi="Times New Roman"/>
          <w:bCs/>
          <w:iCs/>
          <w:sz w:val="24"/>
          <w:szCs w:val="24"/>
          <w:lang w:eastAsia="ru-RU"/>
        </w:rPr>
      </w:pPr>
      <w:r w:rsidRPr="005A46FC">
        <w:rPr>
          <w:rFonts w:ascii="Times New Roman" w:eastAsia="Times New Roman" w:hAnsi="Times New Roman"/>
          <w:bCs/>
          <w:iCs/>
          <w:sz w:val="24"/>
          <w:szCs w:val="24"/>
          <w:lang w:eastAsia="ru-RU"/>
        </w:rPr>
        <w:t>Ленватиниб</w:t>
      </w:r>
    </w:p>
    <w:p w14:paraId="08E9FE3F" w14:textId="77777777" w:rsidR="00D60C5A" w:rsidRPr="005A46FC" w:rsidRDefault="00D60C5A" w:rsidP="0078568D">
      <w:pPr>
        <w:widowControl w:val="0"/>
        <w:autoSpaceDE w:val="0"/>
        <w:autoSpaceDN w:val="0"/>
        <w:spacing w:after="0" w:line="240" w:lineRule="auto"/>
        <w:ind w:left="2977" w:hanging="2977"/>
        <w:jc w:val="both"/>
        <w:rPr>
          <w:rFonts w:ascii="Times New Roman" w:eastAsia="TimesNewRomanPSMT" w:hAnsi="Times New Roman"/>
          <w:b/>
          <w:sz w:val="24"/>
          <w:szCs w:val="24"/>
          <w:lang w:eastAsia="ru-RU"/>
        </w:rPr>
      </w:pPr>
      <w:r w:rsidRPr="005A46FC">
        <w:rPr>
          <w:rFonts w:ascii="Times New Roman" w:eastAsia="TimesNewRomanPSMT" w:hAnsi="Times New Roman"/>
          <w:b/>
          <w:sz w:val="24"/>
          <w:szCs w:val="24"/>
          <w:lang w:eastAsia="ru-RU"/>
        </w:rPr>
        <w:t>2.2 Качественный и количественный состав</w:t>
      </w:r>
    </w:p>
    <w:p w14:paraId="13CB766E" w14:textId="77777777" w:rsidR="00A074C5" w:rsidRPr="005A46FC" w:rsidRDefault="00A074C5" w:rsidP="0078568D">
      <w:pPr>
        <w:widowControl w:val="0"/>
        <w:autoSpaceDE w:val="0"/>
        <w:autoSpaceDN w:val="0"/>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xml:space="preserve">Одна капсула содержит </w:t>
      </w:r>
    </w:p>
    <w:p w14:paraId="7F8B0EA2" w14:textId="77777777" w:rsidR="00A074C5" w:rsidRPr="005A46FC" w:rsidRDefault="00A074C5" w:rsidP="00A803A1">
      <w:pPr>
        <w:widowControl w:val="0"/>
        <w:autoSpaceDE w:val="0"/>
        <w:autoSpaceDN w:val="0"/>
        <w:spacing w:after="0" w:line="240" w:lineRule="auto"/>
        <w:jc w:val="both"/>
        <w:rPr>
          <w:rFonts w:ascii="Times New Roman" w:eastAsia="Times New Roman" w:hAnsi="Times New Roman"/>
          <w:bCs/>
          <w:iCs/>
          <w:sz w:val="24"/>
          <w:szCs w:val="24"/>
          <w:lang w:eastAsia="ru-RU"/>
        </w:rPr>
      </w:pPr>
      <w:r w:rsidRPr="005A46FC">
        <w:rPr>
          <w:rFonts w:ascii="Times New Roman" w:eastAsia="Times New Roman" w:hAnsi="Times New Roman"/>
          <w:bCs/>
          <w:i/>
          <w:sz w:val="24"/>
          <w:szCs w:val="24"/>
          <w:lang w:eastAsia="ru-RU"/>
        </w:rPr>
        <w:t xml:space="preserve">активное вещество - </w:t>
      </w:r>
      <w:r w:rsidR="00A803A1" w:rsidRPr="005A46FC">
        <w:rPr>
          <w:rFonts w:ascii="Times New Roman" w:eastAsia="Times New Roman" w:hAnsi="Times New Roman"/>
          <w:bCs/>
          <w:iCs/>
          <w:sz w:val="24"/>
          <w:szCs w:val="24"/>
          <w:lang w:eastAsia="ru-RU"/>
        </w:rPr>
        <w:t>ленватиниба мезилата эквивалентно ленватинибу 4 мг или 10 мг;</w:t>
      </w:r>
    </w:p>
    <w:p w14:paraId="14BD514B" w14:textId="77777777" w:rsidR="003C07E3" w:rsidRPr="005A46FC" w:rsidRDefault="00E75FFF" w:rsidP="0078568D">
      <w:pPr>
        <w:autoSpaceDE w:val="0"/>
        <w:autoSpaceDN w:val="0"/>
        <w:adjustRightInd w:val="0"/>
        <w:spacing w:after="0" w:line="240" w:lineRule="auto"/>
        <w:rPr>
          <w:rFonts w:ascii="Times New Roman" w:eastAsia="Times New Roman" w:hAnsi="Times New Roman"/>
          <w:bCs/>
          <w:snapToGrid w:val="0"/>
          <w:sz w:val="24"/>
          <w:szCs w:val="24"/>
          <w:lang w:eastAsia="ru-RU"/>
        </w:rPr>
      </w:pPr>
      <w:r w:rsidRPr="005A46FC">
        <w:rPr>
          <w:rFonts w:ascii="Times New Roman" w:hAnsi="Times New Roman"/>
          <w:iCs/>
          <w:sz w:val="24"/>
          <w:szCs w:val="24"/>
          <w:lang w:eastAsia="ru-RU"/>
        </w:rPr>
        <w:t>Полный список вспомогательных веществ см. в пункте 6.1</w:t>
      </w:r>
      <w:r w:rsidRPr="005A46FC">
        <w:rPr>
          <w:rFonts w:ascii="Times New Roman" w:hAnsi="Times New Roman"/>
          <w:sz w:val="24"/>
          <w:szCs w:val="24"/>
          <w:lang w:eastAsia="ru-RU"/>
        </w:rPr>
        <w:t>.</w:t>
      </w:r>
    </w:p>
    <w:p w14:paraId="3DE46836" w14:textId="77777777" w:rsidR="00881BDD" w:rsidRPr="005A46FC" w:rsidRDefault="00881BDD" w:rsidP="0078568D">
      <w:pPr>
        <w:spacing w:after="0" w:line="240" w:lineRule="auto"/>
        <w:jc w:val="both"/>
        <w:rPr>
          <w:rFonts w:ascii="Times New Roman" w:eastAsia="Times New Roman" w:hAnsi="Times New Roman"/>
          <w:b/>
          <w:sz w:val="24"/>
          <w:szCs w:val="24"/>
          <w:lang w:eastAsia="ru-RU"/>
        </w:rPr>
      </w:pPr>
      <w:bookmarkStart w:id="2" w:name="2175220286"/>
    </w:p>
    <w:p w14:paraId="7E7EC1C5" w14:textId="77777777" w:rsidR="00B7231F" w:rsidRPr="005A46FC" w:rsidRDefault="00B7231F"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 xml:space="preserve">3. </w:t>
      </w:r>
      <w:r w:rsidR="00280121" w:rsidRPr="005A46FC">
        <w:rPr>
          <w:rFonts w:ascii="Times New Roman" w:eastAsia="Times New Roman" w:hAnsi="Times New Roman"/>
          <w:b/>
          <w:sz w:val="24"/>
          <w:szCs w:val="24"/>
          <w:lang w:eastAsia="ru-RU"/>
        </w:rPr>
        <w:t>ЛЕКАРСТВЕННАЯ ФОРМА</w:t>
      </w:r>
    </w:p>
    <w:bookmarkEnd w:id="2"/>
    <w:p w14:paraId="5FDCA0D2" w14:textId="77777777" w:rsidR="001872CE" w:rsidRPr="005A46FC" w:rsidRDefault="00C8579D" w:rsidP="0078568D">
      <w:pPr>
        <w:pStyle w:val="Default"/>
        <w:jc w:val="both"/>
        <w:rPr>
          <w:spacing w:val="-4"/>
        </w:rPr>
      </w:pPr>
      <w:r w:rsidRPr="005A46FC">
        <w:rPr>
          <w:spacing w:val="-4"/>
        </w:rPr>
        <w:t>Капсулы</w:t>
      </w:r>
      <w:r w:rsidR="001872CE" w:rsidRPr="005A46FC">
        <w:rPr>
          <w:spacing w:val="-4"/>
        </w:rPr>
        <w:t>.</w:t>
      </w:r>
    </w:p>
    <w:p w14:paraId="2E1274AD" w14:textId="77777777" w:rsidR="00C8579D" w:rsidRPr="005A46FC" w:rsidRDefault="00C8579D" w:rsidP="00C8579D">
      <w:pPr>
        <w:widowControl w:val="0"/>
        <w:suppressAutoHyphens/>
        <w:autoSpaceDE w:val="0"/>
        <w:autoSpaceDN w:val="0"/>
        <w:spacing w:after="0" w:line="240" w:lineRule="auto"/>
        <w:jc w:val="both"/>
        <w:rPr>
          <w:rFonts w:ascii="Times New Roman" w:eastAsia="Times New Roman" w:hAnsi="Times New Roman"/>
          <w:color w:val="000000"/>
          <w:spacing w:val="-4"/>
          <w:sz w:val="24"/>
          <w:szCs w:val="24"/>
          <w:lang w:eastAsia="hu-HU"/>
        </w:rPr>
      </w:pPr>
      <w:r w:rsidRPr="005A46FC">
        <w:rPr>
          <w:rFonts w:ascii="Times New Roman" w:eastAsia="Times New Roman" w:hAnsi="Times New Roman"/>
          <w:color w:val="000000"/>
          <w:spacing w:val="-4"/>
          <w:sz w:val="24"/>
          <w:szCs w:val="24"/>
          <w:lang w:eastAsia="hu-HU"/>
        </w:rPr>
        <w:t>Твердые желатиновые капсулы размером «4» с непрозрачным белым корпусом и крышечкой. Содержимое капсул - гранулированный порошок от белого до почти белого цвета (для дозировки 4 мг).</w:t>
      </w:r>
    </w:p>
    <w:p w14:paraId="1512E944" w14:textId="77777777" w:rsidR="00B7231F" w:rsidRPr="005A46FC" w:rsidRDefault="00C8579D" w:rsidP="00C8579D">
      <w:pPr>
        <w:widowControl w:val="0"/>
        <w:suppressAutoHyphens/>
        <w:autoSpaceDE w:val="0"/>
        <w:autoSpaceDN w:val="0"/>
        <w:spacing w:after="0" w:line="240" w:lineRule="auto"/>
        <w:jc w:val="both"/>
        <w:rPr>
          <w:rFonts w:ascii="Times New Roman" w:eastAsia="Times New Roman" w:hAnsi="Times New Roman"/>
          <w:color w:val="000000"/>
          <w:spacing w:val="-4"/>
          <w:sz w:val="24"/>
          <w:szCs w:val="24"/>
          <w:lang w:eastAsia="hu-HU"/>
        </w:rPr>
      </w:pPr>
      <w:r w:rsidRPr="005A46FC">
        <w:rPr>
          <w:rFonts w:ascii="Times New Roman" w:eastAsia="Times New Roman" w:hAnsi="Times New Roman"/>
          <w:color w:val="000000"/>
          <w:spacing w:val="-4"/>
          <w:sz w:val="24"/>
          <w:szCs w:val="24"/>
          <w:lang w:eastAsia="hu-HU"/>
        </w:rPr>
        <w:t>Твердые желатиновые капсулы размером «1» с непрозрачным белым корпусом и крышечкой. Содержимое капсул - гранулированный порошок от белого до почти белого цвета (для дозировки 10 мг)</w:t>
      </w:r>
      <w:r w:rsidR="0098045C" w:rsidRPr="005A46FC">
        <w:rPr>
          <w:rFonts w:ascii="Times New Roman" w:eastAsia="Times New Roman" w:hAnsi="Times New Roman"/>
          <w:color w:val="000000"/>
          <w:spacing w:val="-4"/>
          <w:sz w:val="24"/>
          <w:szCs w:val="24"/>
          <w:lang w:eastAsia="hu-HU"/>
        </w:rPr>
        <w:t>.</w:t>
      </w:r>
    </w:p>
    <w:p w14:paraId="118B9612" w14:textId="77777777" w:rsidR="00C8579D" w:rsidRPr="005A46FC" w:rsidRDefault="00C8579D" w:rsidP="00C8579D">
      <w:pPr>
        <w:widowControl w:val="0"/>
        <w:autoSpaceDE w:val="0"/>
        <w:autoSpaceDN w:val="0"/>
        <w:spacing w:after="0" w:line="240" w:lineRule="auto"/>
        <w:jc w:val="both"/>
        <w:rPr>
          <w:rFonts w:ascii="Times New Roman" w:eastAsia="Times New Roman" w:hAnsi="Times New Roman"/>
          <w:b/>
          <w:bCs/>
          <w:snapToGrid w:val="0"/>
          <w:sz w:val="24"/>
          <w:szCs w:val="24"/>
          <w:lang w:eastAsia="ru-RU"/>
        </w:rPr>
      </w:pPr>
    </w:p>
    <w:p w14:paraId="3308E524" w14:textId="77777777" w:rsidR="002C1660" w:rsidRPr="005A46FC" w:rsidRDefault="00B7231F"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4</w:t>
      </w:r>
      <w:r w:rsidR="00DB406A" w:rsidRPr="005A46FC">
        <w:rPr>
          <w:rFonts w:ascii="Times New Roman" w:eastAsia="Times New Roman" w:hAnsi="Times New Roman"/>
          <w:b/>
          <w:sz w:val="24"/>
          <w:szCs w:val="24"/>
          <w:lang w:eastAsia="ru-RU"/>
        </w:rPr>
        <w:t xml:space="preserve">. </w:t>
      </w:r>
      <w:bookmarkEnd w:id="1"/>
      <w:r w:rsidR="00384EFD" w:rsidRPr="005A46FC">
        <w:rPr>
          <w:rFonts w:ascii="Times New Roman" w:eastAsia="Times New Roman" w:hAnsi="Times New Roman"/>
          <w:b/>
          <w:sz w:val="24"/>
          <w:szCs w:val="24"/>
          <w:lang w:eastAsia="ru-RU"/>
        </w:rPr>
        <w:t>КЛИНИЧЕСКИЕ ДАННЫЕ</w:t>
      </w:r>
    </w:p>
    <w:p w14:paraId="774B5D2F" w14:textId="77777777" w:rsidR="005444B2" w:rsidRPr="005A46FC"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4</w:t>
      </w:r>
      <w:r w:rsidR="00DB406A" w:rsidRPr="005A46FC">
        <w:rPr>
          <w:rFonts w:ascii="Times New Roman" w:eastAsia="Times New Roman" w:hAnsi="Times New Roman"/>
          <w:b/>
          <w:bCs/>
          <w:sz w:val="24"/>
          <w:szCs w:val="24"/>
          <w:lang w:eastAsia="ru-RU"/>
        </w:rPr>
        <w:t>.</w:t>
      </w:r>
      <w:r w:rsidRPr="005A46FC">
        <w:rPr>
          <w:rFonts w:ascii="Times New Roman" w:eastAsia="Times New Roman" w:hAnsi="Times New Roman"/>
          <w:b/>
          <w:bCs/>
          <w:sz w:val="24"/>
          <w:szCs w:val="24"/>
          <w:lang w:eastAsia="ru-RU"/>
        </w:rPr>
        <w:t>1</w:t>
      </w:r>
      <w:r w:rsidR="00DB406A" w:rsidRPr="005A46FC">
        <w:rPr>
          <w:rFonts w:ascii="Times New Roman" w:eastAsia="Times New Roman" w:hAnsi="Times New Roman"/>
          <w:b/>
          <w:bCs/>
          <w:sz w:val="24"/>
          <w:szCs w:val="24"/>
          <w:lang w:eastAsia="ru-RU"/>
        </w:rPr>
        <w:t xml:space="preserve"> </w:t>
      </w:r>
      <w:r w:rsidR="005444B2" w:rsidRPr="005A46FC">
        <w:rPr>
          <w:rFonts w:ascii="Times New Roman" w:eastAsia="Times New Roman" w:hAnsi="Times New Roman"/>
          <w:b/>
          <w:bCs/>
          <w:sz w:val="24"/>
          <w:szCs w:val="24"/>
          <w:lang w:eastAsia="ru-RU"/>
        </w:rPr>
        <w:t>Показания к применению</w:t>
      </w:r>
    </w:p>
    <w:p w14:paraId="2142BC60" w14:textId="77777777" w:rsidR="00547A4A" w:rsidRPr="005A46FC" w:rsidRDefault="00547A4A" w:rsidP="00547A4A">
      <w:pPr>
        <w:tabs>
          <w:tab w:val="left" w:pos="8931"/>
        </w:tabs>
        <w:spacing w:after="0" w:line="240" w:lineRule="auto"/>
        <w:jc w:val="both"/>
        <w:rPr>
          <w:rFonts w:ascii="Times New Roman" w:hAnsi="Times New Roman"/>
          <w:i/>
          <w:iCs/>
          <w:sz w:val="24"/>
          <w:szCs w:val="24"/>
        </w:rPr>
      </w:pPr>
      <w:r w:rsidRPr="005A46FC">
        <w:rPr>
          <w:rFonts w:ascii="Times New Roman" w:hAnsi="Times New Roman"/>
          <w:i/>
          <w:iCs/>
          <w:sz w:val="24"/>
          <w:szCs w:val="24"/>
        </w:rPr>
        <w:t>Дифференцированный рак щитовидной железы (ДРЩЖ)</w:t>
      </w:r>
    </w:p>
    <w:p w14:paraId="184182B9" w14:textId="77777777" w:rsidR="00547A4A" w:rsidRPr="005A46FC" w:rsidRDefault="00547A4A" w:rsidP="00547A4A">
      <w:pPr>
        <w:tabs>
          <w:tab w:val="left" w:pos="8931"/>
        </w:tabs>
        <w:spacing w:after="0" w:line="240" w:lineRule="auto"/>
        <w:jc w:val="both"/>
        <w:rPr>
          <w:rFonts w:ascii="Times New Roman" w:hAnsi="Times New Roman"/>
          <w:sz w:val="24"/>
          <w:szCs w:val="24"/>
        </w:rPr>
      </w:pPr>
      <w:r w:rsidRPr="005A46FC">
        <w:rPr>
          <w:rFonts w:ascii="Times New Roman" w:hAnsi="Times New Roman"/>
          <w:sz w:val="24"/>
          <w:szCs w:val="24"/>
        </w:rPr>
        <w:t xml:space="preserve">Бидифоа показан для лечения </w:t>
      </w:r>
      <w:r w:rsidR="00CA0279" w:rsidRPr="005A46FC">
        <w:rPr>
          <w:rFonts w:ascii="Times New Roman" w:hAnsi="Times New Roman"/>
          <w:sz w:val="24"/>
          <w:szCs w:val="24"/>
        </w:rPr>
        <w:t xml:space="preserve">в виде монотерапии у </w:t>
      </w:r>
      <w:r w:rsidRPr="005A46FC">
        <w:rPr>
          <w:rFonts w:ascii="Times New Roman" w:hAnsi="Times New Roman"/>
          <w:sz w:val="24"/>
          <w:szCs w:val="24"/>
        </w:rPr>
        <w:t>взрослых пациентов с прогрессирующим, местнораспространенным или метастатическим, дифференцированным (папиллярным/фолликулярным/</w:t>
      </w:r>
      <w:r w:rsidR="00CA0279" w:rsidRPr="005A46FC">
        <w:t xml:space="preserve"> </w:t>
      </w:r>
      <w:r w:rsidR="00CA0279" w:rsidRPr="005A46FC">
        <w:rPr>
          <w:rFonts w:ascii="Times New Roman" w:hAnsi="Times New Roman"/>
          <w:sz w:val="24"/>
          <w:szCs w:val="24"/>
        </w:rPr>
        <w:t>из клеток Гюртле</w:t>
      </w:r>
      <w:r w:rsidRPr="005A46FC">
        <w:rPr>
          <w:rFonts w:ascii="Times New Roman" w:hAnsi="Times New Roman"/>
          <w:sz w:val="24"/>
          <w:szCs w:val="24"/>
        </w:rPr>
        <w:t xml:space="preserve">) раком щитовидной железы (ДРЩЖ), </w:t>
      </w:r>
      <w:r w:rsidR="00CA0279" w:rsidRPr="005A46FC">
        <w:rPr>
          <w:rFonts w:ascii="Times New Roman" w:hAnsi="Times New Roman"/>
          <w:sz w:val="24"/>
          <w:szCs w:val="24"/>
        </w:rPr>
        <w:t xml:space="preserve">рефрактерным к терапии радиоактивным йодом </w:t>
      </w:r>
      <w:r w:rsidRPr="005A46FC">
        <w:rPr>
          <w:rFonts w:ascii="Times New Roman" w:hAnsi="Times New Roman"/>
          <w:sz w:val="24"/>
          <w:szCs w:val="24"/>
        </w:rPr>
        <w:t>(РАИ).</w:t>
      </w:r>
    </w:p>
    <w:p w14:paraId="2440B080" w14:textId="77777777" w:rsidR="00547A4A" w:rsidRPr="005A46FC" w:rsidRDefault="00547A4A" w:rsidP="00547A4A">
      <w:pPr>
        <w:tabs>
          <w:tab w:val="left" w:pos="8931"/>
        </w:tabs>
        <w:spacing w:after="0" w:line="240" w:lineRule="auto"/>
        <w:jc w:val="both"/>
        <w:rPr>
          <w:rFonts w:ascii="Times New Roman" w:hAnsi="Times New Roman"/>
          <w:i/>
          <w:iCs/>
          <w:sz w:val="24"/>
          <w:szCs w:val="24"/>
        </w:rPr>
      </w:pPr>
      <w:r w:rsidRPr="005A46FC">
        <w:rPr>
          <w:rFonts w:ascii="Times New Roman" w:hAnsi="Times New Roman"/>
          <w:i/>
          <w:iCs/>
          <w:sz w:val="24"/>
          <w:szCs w:val="24"/>
        </w:rPr>
        <w:t>Гепатоцеллюлярный рак (ГЦР)</w:t>
      </w:r>
    </w:p>
    <w:p w14:paraId="60BFE84D" w14:textId="77777777" w:rsidR="00547A4A" w:rsidRPr="005A46FC" w:rsidRDefault="00547A4A" w:rsidP="00547A4A">
      <w:pPr>
        <w:tabs>
          <w:tab w:val="left" w:pos="8931"/>
        </w:tabs>
        <w:spacing w:after="0" w:line="240" w:lineRule="auto"/>
        <w:jc w:val="both"/>
        <w:rPr>
          <w:rFonts w:ascii="Times New Roman" w:hAnsi="Times New Roman"/>
          <w:sz w:val="24"/>
          <w:szCs w:val="24"/>
        </w:rPr>
      </w:pPr>
      <w:r w:rsidRPr="005A46FC">
        <w:rPr>
          <w:rFonts w:ascii="Times New Roman" w:hAnsi="Times New Roman"/>
          <w:sz w:val="24"/>
          <w:szCs w:val="24"/>
        </w:rPr>
        <w:t xml:space="preserve">Бидифоа показан для лечения </w:t>
      </w:r>
      <w:r w:rsidR="00CA0279" w:rsidRPr="005A46FC">
        <w:rPr>
          <w:rFonts w:ascii="Times New Roman" w:hAnsi="Times New Roman"/>
          <w:sz w:val="24"/>
          <w:szCs w:val="24"/>
        </w:rPr>
        <w:t xml:space="preserve">в виде монотерапии у </w:t>
      </w:r>
      <w:r w:rsidRPr="005A46FC">
        <w:rPr>
          <w:rFonts w:ascii="Times New Roman" w:hAnsi="Times New Roman"/>
          <w:sz w:val="24"/>
          <w:szCs w:val="24"/>
        </w:rPr>
        <w:t>взрослых пациентов с</w:t>
      </w:r>
      <w:r w:rsidR="00CA0279" w:rsidRPr="005A46FC">
        <w:rPr>
          <w:rFonts w:ascii="Times New Roman" w:hAnsi="Times New Roman"/>
          <w:sz w:val="24"/>
          <w:szCs w:val="24"/>
        </w:rPr>
        <w:t xml:space="preserve"> прогрессирующим или неоперабельным </w:t>
      </w:r>
      <w:r w:rsidRPr="005A46FC">
        <w:rPr>
          <w:rFonts w:ascii="Times New Roman" w:hAnsi="Times New Roman"/>
          <w:sz w:val="24"/>
          <w:szCs w:val="24"/>
        </w:rPr>
        <w:t>гепатоцеллюлярным раком (ГЦР), которые ранее не получали системной терапии (см. раздел 5.1).</w:t>
      </w:r>
    </w:p>
    <w:p w14:paraId="3D3FCEF4" w14:textId="77777777" w:rsidR="00547A4A" w:rsidRPr="005A46FC" w:rsidRDefault="00547A4A" w:rsidP="00547A4A">
      <w:pPr>
        <w:tabs>
          <w:tab w:val="left" w:pos="8931"/>
        </w:tabs>
        <w:spacing w:after="0" w:line="240" w:lineRule="auto"/>
        <w:jc w:val="both"/>
        <w:rPr>
          <w:rFonts w:ascii="Times New Roman" w:hAnsi="Times New Roman"/>
          <w:i/>
          <w:iCs/>
          <w:sz w:val="24"/>
          <w:szCs w:val="24"/>
        </w:rPr>
      </w:pPr>
      <w:r w:rsidRPr="005A46FC">
        <w:rPr>
          <w:rFonts w:ascii="Times New Roman" w:hAnsi="Times New Roman"/>
          <w:i/>
          <w:iCs/>
          <w:sz w:val="24"/>
          <w:szCs w:val="24"/>
        </w:rPr>
        <w:t>Рак эндометрия (РЭ)</w:t>
      </w:r>
    </w:p>
    <w:p w14:paraId="53F33F94" w14:textId="77777777" w:rsidR="005444B2" w:rsidRPr="005A46FC" w:rsidRDefault="00547A4A" w:rsidP="00547A4A">
      <w:pPr>
        <w:tabs>
          <w:tab w:val="left" w:pos="8931"/>
        </w:tabs>
        <w:spacing w:after="0" w:line="240" w:lineRule="auto"/>
        <w:jc w:val="both"/>
        <w:rPr>
          <w:rFonts w:ascii="Times New Roman" w:hAnsi="Times New Roman"/>
          <w:sz w:val="24"/>
          <w:szCs w:val="24"/>
        </w:rPr>
      </w:pPr>
      <w:r w:rsidRPr="005A46FC">
        <w:rPr>
          <w:rFonts w:ascii="Times New Roman" w:hAnsi="Times New Roman"/>
          <w:sz w:val="24"/>
          <w:szCs w:val="24"/>
        </w:rPr>
        <w:t>Бидифоа в комбинации с пембролизумабом показан для лечения взрослых пациентов с распространенным или рецидивирующим раком эндометрия (РЭ), у которых наблюдается прогрессирование заболевания во время или после предшествующего лечения платиносодержащей терапией в любых условиях и которые не являются претендентами на радикальное хирургическое вмешательство или лучевую терапию.</w:t>
      </w:r>
    </w:p>
    <w:p w14:paraId="35DB01E9" w14:textId="77777777" w:rsidR="0095363B" w:rsidRPr="005A46FC" w:rsidRDefault="0095363B" w:rsidP="00547A4A">
      <w:pPr>
        <w:tabs>
          <w:tab w:val="left" w:pos="8931"/>
        </w:tabs>
        <w:spacing w:after="0" w:line="240" w:lineRule="auto"/>
        <w:jc w:val="both"/>
        <w:rPr>
          <w:rFonts w:ascii="Times New Roman" w:hAnsi="Times New Roman"/>
          <w:sz w:val="24"/>
          <w:szCs w:val="24"/>
        </w:rPr>
      </w:pPr>
    </w:p>
    <w:p w14:paraId="2DE505C3" w14:textId="77777777" w:rsidR="00B7231F" w:rsidRPr="005A46FC" w:rsidRDefault="00B7231F" w:rsidP="0078568D">
      <w:pPr>
        <w:spacing w:after="0" w:line="240" w:lineRule="auto"/>
        <w:jc w:val="both"/>
        <w:rPr>
          <w:rFonts w:ascii="Times New Roman" w:eastAsia="Times New Roman" w:hAnsi="Times New Roman"/>
          <w:b/>
          <w:sz w:val="24"/>
          <w:szCs w:val="24"/>
          <w:lang w:eastAsia="ru-RU"/>
        </w:rPr>
      </w:pPr>
      <w:bookmarkStart w:id="3" w:name="2175220274"/>
      <w:r w:rsidRPr="005A46FC">
        <w:rPr>
          <w:rFonts w:ascii="Times New Roman" w:eastAsia="Times New Roman" w:hAnsi="Times New Roman"/>
          <w:b/>
          <w:sz w:val="24"/>
          <w:szCs w:val="24"/>
          <w:lang w:eastAsia="ru-RU"/>
        </w:rPr>
        <w:t>4.2 Режим дозирования и способ применения</w:t>
      </w:r>
    </w:p>
    <w:p w14:paraId="461AD392" w14:textId="77777777" w:rsidR="00891EB8" w:rsidRPr="005A46FC" w:rsidRDefault="00B7231F"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 xml:space="preserve">Режим дозирования </w:t>
      </w:r>
    </w:p>
    <w:bookmarkEnd w:id="3"/>
    <w:p w14:paraId="0E3357B1" w14:textId="77777777" w:rsidR="00DA2427" w:rsidRPr="005A46FC" w:rsidRDefault="00DA2427" w:rsidP="0078568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lastRenderedPageBreak/>
        <w:t xml:space="preserve">Лечение препаратом Бидифоа должно начинаться и проводиться под наблюдением медицинского работника, имеющего опыт </w:t>
      </w:r>
      <w:r w:rsidR="00B2586D" w:rsidRPr="005A46FC">
        <w:rPr>
          <w:rFonts w:ascii="Times New Roman" w:eastAsia="Times New Roman" w:hAnsi="Times New Roman"/>
          <w:sz w:val="24"/>
          <w:szCs w:val="24"/>
          <w:lang w:eastAsia="ru-RU"/>
        </w:rPr>
        <w:t>проведения</w:t>
      </w:r>
      <w:r w:rsidRPr="005A46FC">
        <w:rPr>
          <w:rFonts w:ascii="Times New Roman" w:eastAsia="Times New Roman" w:hAnsi="Times New Roman"/>
          <w:sz w:val="24"/>
          <w:szCs w:val="24"/>
          <w:lang w:eastAsia="ru-RU"/>
        </w:rPr>
        <w:t xml:space="preserve"> противоопухолев</w:t>
      </w:r>
      <w:r w:rsidR="00B2586D" w:rsidRPr="005A46FC">
        <w:rPr>
          <w:rFonts w:ascii="Times New Roman" w:eastAsia="Times New Roman" w:hAnsi="Times New Roman"/>
          <w:sz w:val="24"/>
          <w:szCs w:val="24"/>
          <w:lang w:eastAsia="ru-RU"/>
        </w:rPr>
        <w:t>ой</w:t>
      </w:r>
      <w:r w:rsidRPr="005A46FC">
        <w:rPr>
          <w:rFonts w:ascii="Times New Roman" w:eastAsia="Times New Roman" w:hAnsi="Times New Roman"/>
          <w:sz w:val="24"/>
          <w:szCs w:val="24"/>
          <w:lang w:eastAsia="ru-RU"/>
        </w:rPr>
        <w:t xml:space="preserve"> </w:t>
      </w:r>
      <w:r w:rsidR="00B2586D" w:rsidRPr="005A46FC">
        <w:rPr>
          <w:rFonts w:ascii="Times New Roman" w:eastAsia="Times New Roman" w:hAnsi="Times New Roman"/>
          <w:sz w:val="24"/>
          <w:szCs w:val="24"/>
          <w:lang w:eastAsia="ru-RU"/>
        </w:rPr>
        <w:t>терапии</w:t>
      </w:r>
      <w:r w:rsidRPr="005A46FC">
        <w:rPr>
          <w:rFonts w:ascii="Times New Roman" w:eastAsia="Times New Roman" w:hAnsi="Times New Roman"/>
          <w:sz w:val="24"/>
          <w:szCs w:val="24"/>
          <w:lang w:eastAsia="ru-RU"/>
        </w:rPr>
        <w:t>.</w:t>
      </w:r>
    </w:p>
    <w:p w14:paraId="62B7D7FF" w14:textId="77777777" w:rsidR="00DA2427" w:rsidRPr="005A46FC" w:rsidRDefault="00DA2427" w:rsidP="0078568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Оптимальное медикаментозное лечение тошнот</w:t>
      </w:r>
      <w:r w:rsidR="00B2586D" w:rsidRPr="005A46FC">
        <w:rPr>
          <w:rFonts w:ascii="Times New Roman" w:eastAsia="Times New Roman" w:hAnsi="Times New Roman"/>
          <w:sz w:val="24"/>
          <w:szCs w:val="24"/>
          <w:lang w:eastAsia="ru-RU"/>
        </w:rPr>
        <w:t>ы</w:t>
      </w:r>
      <w:r w:rsidRPr="005A46FC">
        <w:rPr>
          <w:rFonts w:ascii="Times New Roman" w:eastAsia="Times New Roman" w:hAnsi="Times New Roman"/>
          <w:sz w:val="24"/>
          <w:szCs w:val="24"/>
          <w:lang w:eastAsia="ru-RU"/>
        </w:rPr>
        <w:t>, рвот</w:t>
      </w:r>
      <w:r w:rsidR="00B2586D" w:rsidRPr="005A46FC">
        <w:rPr>
          <w:rFonts w:ascii="Times New Roman" w:eastAsia="Times New Roman" w:hAnsi="Times New Roman"/>
          <w:sz w:val="24"/>
          <w:szCs w:val="24"/>
          <w:lang w:eastAsia="ru-RU"/>
        </w:rPr>
        <w:t>ы</w:t>
      </w:r>
      <w:r w:rsidRPr="005A46FC">
        <w:rPr>
          <w:rFonts w:ascii="Times New Roman" w:eastAsia="Times New Roman" w:hAnsi="Times New Roman"/>
          <w:sz w:val="24"/>
          <w:szCs w:val="24"/>
          <w:lang w:eastAsia="ru-RU"/>
        </w:rPr>
        <w:t xml:space="preserve"> и диаре</w:t>
      </w:r>
      <w:r w:rsidR="00B2586D" w:rsidRPr="005A46FC">
        <w:rPr>
          <w:rFonts w:ascii="Times New Roman" w:eastAsia="Times New Roman" w:hAnsi="Times New Roman"/>
          <w:sz w:val="24"/>
          <w:szCs w:val="24"/>
          <w:lang w:eastAsia="ru-RU"/>
        </w:rPr>
        <w:t>и</w:t>
      </w:r>
      <w:r w:rsidRPr="005A46FC">
        <w:rPr>
          <w:rFonts w:ascii="Times New Roman" w:eastAsia="Times New Roman" w:hAnsi="Times New Roman"/>
          <w:sz w:val="24"/>
          <w:szCs w:val="24"/>
          <w:lang w:eastAsia="ru-RU"/>
        </w:rPr>
        <w:t xml:space="preserve"> следует начинать до прерывания терапии ленватинибом или снижения дозы; желудочно-кишечную токсичность следует активно лечить, чтобы снизить риск развития почечной недостаточности или почечной недостаточности (см. раздел 4.4).</w:t>
      </w:r>
    </w:p>
    <w:p w14:paraId="41E64267" w14:textId="77777777" w:rsidR="00DA2427" w:rsidRPr="005A46FC" w:rsidRDefault="00DA2427" w:rsidP="0078568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Если пациент пропустил дозу и нет возможности ее принять в течение 12 часов, то эту дозу следует пропустить, а прием следующей дозы следует возобновить в обычное установленное время.</w:t>
      </w:r>
    </w:p>
    <w:p w14:paraId="398E516B" w14:textId="77777777" w:rsidR="00DA2427" w:rsidRPr="005A46FC" w:rsidRDefault="00DA2427" w:rsidP="0078568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Лечение следует продолжать до тех пор, пока наблюдается клиническая эффективность или до появления эпизода неприемлемой токсичности.</w:t>
      </w:r>
    </w:p>
    <w:p w14:paraId="23D65435" w14:textId="77777777" w:rsidR="00DA2427" w:rsidRPr="005A46FC" w:rsidRDefault="00DA2427" w:rsidP="00DA2427">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eastAsia="ru-RU"/>
        </w:rPr>
        <w:t>Дифференцированный рак щитовидной железы (ДРЩЖ)</w:t>
      </w:r>
    </w:p>
    <w:p w14:paraId="70694307" w14:textId="77777777" w:rsidR="00DA2427" w:rsidRPr="005A46FC" w:rsidRDefault="00DA2427" w:rsidP="00DA2427">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Рекомендуемая суточная доза ленватиниба составляет 24 мг (две капсулы по 10 мг и одна капсула по 4 мг) один раз в сутки. Суточная доза должна быть скорректирована по мере необходимости в соответствии с планом управления дозой/токсичностью.</w:t>
      </w:r>
    </w:p>
    <w:p w14:paraId="113D5237" w14:textId="77777777" w:rsidR="00DA2427" w:rsidRPr="005A46FC" w:rsidRDefault="00DA2427" w:rsidP="00DA2427">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eastAsia="ru-RU"/>
        </w:rPr>
        <w:t>Корректировка дозы и отмена при ДРЩЖ</w:t>
      </w:r>
    </w:p>
    <w:p w14:paraId="7887C665" w14:textId="77777777" w:rsidR="00DA2427" w:rsidRPr="005A46FC" w:rsidRDefault="00DA2427" w:rsidP="00DA2427">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При лечении побочных реакций может потребоваться прерывание, коррекция дозы или прекращение терапии ленватинибом (см. раздел 4.4). Нежелательные реакции легкой и средней степени тяжести (например, 1 или 2 степени) обычно не требуют прекращения приема ленватиниба, за исключением случаев непереносимости пациентом, несмотря на оптимальное лечение. Тяжелые (например, 3 степени) или непереносимые нежелательные реакции требуют прекращения приема ленватиниба до улучшения реакции до 0–1 степени или исходного уровня.</w:t>
      </w:r>
    </w:p>
    <w:p w14:paraId="0BD2F64C" w14:textId="77777777" w:rsidR="00DA2427" w:rsidRPr="005A46FC" w:rsidRDefault="00DA2427" w:rsidP="00DA2427">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При токсичности, связанной с ленватинибом (см. </w:t>
      </w:r>
      <w:r w:rsidR="00A4468C" w:rsidRPr="005A46FC">
        <w:rPr>
          <w:rFonts w:ascii="Times New Roman" w:eastAsia="Times New Roman" w:hAnsi="Times New Roman"/>
          <w:sz w:val="24"/>
          <w:szCs w:val="24"/>
          <w:lang w:eastAsia="ru-RU"/>
        </w:rPr>
        <w:t>т</w:t>
      </w:r>
      <w:r w:rsidRPr="005A46FC">
        <w:rPr>
          <w:rFonts w:ascii="Times New Roman" w:eastAsia="Times New Roman" w:hAnsi="Times New Roman"/>
          <w:sz w:val="24"/>
          <w:szCs w:val="24"/>
          <w:lang w:eastAsia="ru-RU"/>
        </w:rPr>
        <w:t>аблицу 4), после снижения нежелательной реакции до 0–1 степени или исходного уровня лечение следует возобновить с уменьшенной дозы ленватиниба согласно таблице 1.</w:t>
      </w:r>
    </w:p>
    <w:p w14:paraId="373F80C6" w14:textId="77777777" w:rsidR="00C27BDD" w:rsidRPr="005A46FC" w:rsidRDefault="00C27BDD" w:rsidP="00DA2427">
      <w:pPr>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DA2427" w:rsidRPr="005A46FC" w14:paraId="0C6B4018" w14:textId="77777777" w:rsidTr="00D87D38">
        <w:tc>
          <w:tcPr>
            <w:tcW w:w="9287" w:type="dxa"/>
            <w:gridSpan w:val="3"/>
            <w:shd w:val="clear" w:color="auto" w:fill="auto"/>
          </w:tcPr>
          <w:p w14:paraId="1A3C0A7E" w14:textId="77777777" w:rsidR="00DA2427" w:rsidRPr="005A46FC" w:rsidRDefault="00DA2427"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Таблица 1. Изменение рекомендуемой суточной дозы ленватиниба у пациентов с ДРЩЖa</w:t>
            </w:r>
          </w:p>
        </w:tc>
      </w:tr>
      <w:tr w:rsidR="00DA2427" w:rsidRPr="005A46FC" w14:paraId="7D3A6F7C" w14:textId="77777777" w:rsidTr="00D87D38">
        <w:tc>
          <w:tcPr>
            <w:tcW w:w="3095" w:type="dxa"/>
            <w:shd w:val="clear" w:color="auto" w:fill="auto"/>
          </w:tcPr>
          <w:p w14:paraId="098694AA" w14:textId="77777777" w:rsidR="00DA2427" w:rsidRPr="005A46FC" w:rsidRDefault="00DA2427"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Уровень дозы</w:t>
            </w:r>
          </w:p>
        </w:tc>
        <w:tc>
          <w:tcPr>
            <w:tcW w:w="3096" w:type="dxa"/>
            <w:shd w:val="clear" w:color="auto" w:fill="auto"/>
          </w:tcPr>
          <w:p w14:paraId="0B01FD3A" w14:textId="77777777" w:rsidR="00DA2427" w:rsidRPr="005A46FC" w:rsidRDefault="00DA2427"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Ежедневная доза</w:t>
            </w:r>
          </w:p>
        </w:tc>
        <w:tc>
          <w:tcPr>
            <w:tcW w:w="3096" w:type="dxa"/>
            <w:shd w:val="clear" w:color="auto" w:fill="auto"/>
          </w:tcPr>
          <w:p w14:paraId="665C47C6" w14:textId="77777777" w:rsidR="00DA2427" w:rsidRPr="005A46FC" w:rsidRDefault="00DA2427"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Число капсул</w:t>
            </w:r>
          </w:p>
        </w:tc>
      </w:tr>
      <w:tr w:rsidR="00DA2427" w:rsidRPr="005A46FC" w14:paraId="64286FF7" w14:textId="77777777" w:rsidTr="00D87D38">
        <w:tc>
          <w:tcPr>
            <w:tcW w:w="3095" w:type="dxa"/>
            <w:shd w:val="clear" w:color="auto" w:fill="auto"/>
          </w:tcPr>
          <w:p w14:paraId="45D3F237" w14:textId="77777777" w:rsidR="00DA2427" w:rsidRPr="005A46FC" w:rsidRDefault="00DA2427"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Рекомендованная ежедневная доза</w:t>
            </w:r>
          </w:p>
        </w:tc>
        <w:tc>
          <w:tcPr>
            <w:tcW w:w="3096" w:type="dxa"/>
            <w:shd w:val="clear" w:color="auto" w:fill="auto"/>
          </w:tcPr>
          <w:p w14:paraId="6EFFFFB8"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24 мг ежедневно 1 раз в день</w:t>
            </w:r>
          </w:p>
        </w:tc>
        <w:tc>
          <w:tcPr>
            <w:tcW w:w="3096" w:type="dxa"/>
            <w:shd w:val="clear" w:color="auto" w:fill="auto"/>
          </w:tcPr>
          <w:p w14:paraId="6E022A94"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Две капсулы по 10 мг + 4 мг одна капсула</w:t>
            </w:r>
          </w:p>
        </w:tc>
      </w:tr>
      <w:tr w:rsidR="00DA2427" w:rsidRPr="005A46FC" w14:paraId="68B6901C" w14:textId="77777777" w:rsidTr="00D87D38">
        <w:tc>
          <w:tcPr>
            <w:tcW w:w="3095" w:type="dxa"/>
            <w:shd w:val="clear" w:color="auto" w:fill="auto"/>
          </w:tcPr>
          <w:p w14:paraId="7E5C4ED6" w14:textId="77777777" w:rsidR="00DA2427" w:rsidRPr="005A46FC" w:rsidRDefault="00DA2427"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Первичное снижение дозы</w:t>
            </w:r>
          </w:p>
        </w:tc>
        <w:tc>
          <w:tcPr>
            <w:tcW w:w="3096" w:type="dxa"/>
            <w:shd w:val="clear" w:color="auto" w:fill="auto"/>
          </w:tcPr>
          <w:p w14:paraId="36496E77"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20 мг ежедневно 1 раз в день</w:t>
            </w:r>
          </w:p>
        </w:tc>
        <w:tc>
          <w:tcPr>
            <w:tcW w:w="3096" w:type="dxa"/>
            <w:shd w:val="clear" w:color="auto" w:fill="auto"/>
          </w:tcPr>
          <w:p w14:paraId="3A1F957C"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Две капсулы по 10 мг</w:t>
            </w:r>
          </w:p>
        </w:tc>
      </w:tr>
      <w:tr w:rsidR="00DA2427" w:rsidRPr="005A46FC" w14:paraId="5B06A221" w14:textId="77777777" w:rsidTr="00D87D38">
        <w:tc>
          <w:tcPr>
            <w:tcW w:w="3095" w:type="dxa"/>
            <w:shd w:val="clear" w:color="auto" w:fill="auto"/>
          </w:tcPr>
          <w:p w14:paraId="3EC368C0" w14:textId="77777777" w:rsidR="00DA2427" w:rsidRPr="005A46FC" w:rsidRDefault="00DA2427"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Вторичное снижение дозы</w:t>
            </w:r>
          </w:p>
        </w:tc>
        <w:tc>
          <w:tcPr>
            <w:tcW w:w="3096" w:type="dxa"/>
            <w:shd w:val="clear" w:color="auto" w:fill="auto"/>
          </w:tcPr>
          <w:p w14:paraId="69965AC6"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14 мг ежедневно 1 раз в день</w:t>
            </w:r>
          </w:p>
        </w:tc>
        <w:tc>
          <w:tcPr>
            <w:tcW w:w="3096" w:type="dxa"/>
            <w:shd w:val="clear" w:color="auto" w:fill="auto"/>
          </w:tcPr>
          <w:p w14:paraId="482553A4"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Одна капсула 10 мг + одна капсула 4 мг </w:t>
            </w:r>
          </w:p>
        </w:tc>
      </w:tr>
      <w:tr w:rsidR="00DA2427" w:rsidRPr="005A46FC" w14:paraId="1E447B95" w14:textId="77777777" w:rsidTr="00D87D38">
        <w:tc>
          <w:tcPr>
            <w:tcW w:w="3095" w:type="dxa"/>
            <w:shd w:val="clear" w:color="auto" w:fill="auto"/>
          </w:tcPr>
          <w:p w14:paraId="2886A6E1" w14:textId="77777777" w:rsidR="00DA2427" w:rsidRPr="005A46FC" w:rsidRDefault="00DA2427"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Третичное снижение дозы</w:t>
            </w:r>
          </w:p>
        </w:tc>
        <w:tc>
          <w:tcPr>
            <w:tcW w:w="3096" w:type="dxa"/>
            <w:shd w:val="clear" w:color="auto" w:fill="auto"/>
          </w:tcPr>
          <w:p w14:paraId="50BCC5E0"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10 мг ежедневно 1 раз в день</w:t>
            </w:r>
          </w:p>
        </w:tc>
        <w:tc>
          <w:tcPr>
            <w:tcW w:w="3096" w:type="dxa"/>
            <w:shd w:val="clear" w:color="auto" w:fill="auto"/>
          </w:tcPr>
          <w:p w14:paraId="75000ECB"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Одна капсула 10 мг</w:t>
            </w:r>
          </w:p>
        </w:tc>
      </w:tr>
      <w:tr w:rsidR="00DA2427" w:rsidRPr="005A46FC" w14:paraId="438092B4" w14:textId="77777777" w:rsidTr="00D87D38">
        <w:tc>
          <w:tcPr>
            <w:tcW w:w="9287" w:type="dxa"/>
            <w:gridSpan w:val="3"/>
            <w:shd w:val="clear" w:color="auto" w:fill="auto"/>
          </w:tcPr>
          <w:p w14:paraId="4445C418" w14:textId="77777777" w:rsidR="00DA2427" w:rsidRPr="005A46FC" w:rsidRDefault="00A4468C" w:rsidP="00D87D38">
            <w:pPr>
              <w:tabs>
                <w:tab w:val="left" w:pos="2364"/>
              </w:tabs>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vertAlign w:val="superscript"/>
                <w:lang w:eastAsia="ru-RU"/>
              </w:rPr>
              <w:t>а</w:t>
            </w:r>
            <w:r w:rsidR="00DA2427" w:rsidRPr="005A46FC">
              <w:rPr>
                <w:rFonts w:ascii="Times New Roman" w:eastAsia="Times New Roman" w:hAnsi="Times New Roman"/>
                <w:sz w:val="24"/>
                <w:szCs w:val="24"/>
                <w:lang w:eastAsia="ru-RU"/>
              </w:rPr>
              <w:t>В дальнейшем снижение дозы должно рассматриваться у каждого пациента отдельно, поскольку имеются ограниченные данные о дозах ниже 10 мг.</w:t>
            </w:r>
          </w:p>
        </w:tc>
      </w:tr>
    </w:tbl>
    <w:p w14:paraId="3688CFE5" w14:textId="77777777" w:rsidR="00C27BDD" w:rsidRPr="005A46FC" w:rsidRDefault="00C27BDD" w:rsidP="00DA2427">
      <w:pPr>
        <w:spacing w:after="0" w:line="240" w:lineRule="auto"/>
        <w:jc w:val="both"/>
        <w:rPr>
          <w:rFonts w:ascii="Times New Roman" w:eastAsia="Times New Roman" w:hAnsi="Times New Roman"/>
          <w:sz w:val="24"/>
          <w:szCs w:val="24"/>
          <w:lang w:eastAsia="ru-RU"/>
        </w:rPr>
      </w:pPr>
    </w:p>
    <w:p w14:paraId="399C4920" w14:textId="77777777" w:rsidR="00DA2427" w:rsidRPr="005A46FC" w:rsidRDefault="00C9445A" w:rsidP="00DA2427">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Лечение следует прекратить в случае возникновения опасных для жизни реакций (например, 4-й степени), за исключением отклонений от лабораторных показателей, которые считаются неопасными для жизни, и в этом случае их следует лечить как тяжелые реакции (например, 3-й степени).</w:t>
      </w:r>
    </w:p>
    <w:p w14:paraId="3BAE2EA9" w14:textId="77777777" w:rsidR="00C9445A" w:rsidRPr="005A46FC" w:rsidRDefault="00C9445A" w:rsidP="00C9445A">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eastAsia="ru-RU"/>
        </w:rPr>
        <w:t>Гепатоцеллюлярный рак</w:t>
      </w:r>
    </w:p>
    <w:p w14:paraId="2440E1A9" w14:textId="77777777" w:rsidR="00DA2427" w:rsidRPr="005A46FC" w:rsidRDefault="00C9445A" w:rsidP="00C9445A">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Рекомендуемая суточная доза ленватиниба составляет 8 мг (две капсулы по 4 мг) один раз в сутки для пациентов с массой тела &lt; 60 кг и 12 мг (три капсулы по 4 мг) один раз в сутки для пациентов с массой тела ≥ 60 кг. Коррекция дозы основана только на наблюдаемой токсичности, а не на изменении массы тела во время лечения. Суточная доза должна быть изменена по мере необходимости в соответствии с планом управления дозой/токсичностью.</w:t>
      </w:r>
    </w:p>
    <w:p w14:paraId="681DE92F" w14:textId="77777777" w:rsidR="00EE3BB9" w:rsidRPr="005A46FC" w:rsidRDefault="00EE3BB9" w:rsidP="00EE3BB9">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eastAsia="ru-RU"/>
        </w:rPr>
        <w:lastRenderedPageBreak/>
        <w:t>Коррекция дозы и прекращение лечения</w:t>
      </w:r>
      <w:r w:rsidR="00B2586D" w:rsidRPr="005A46FC">
        <w:rPr>
          <w:rFonts w:ascii="Times New Roman" w:eastAsia="Times New Roman" w:hAnsi="Times New Roman"/>
          <w:i/>
          <w:iCs/>
          <w:sz w:val="24"/>
          <w:szCs w:val="24"/>
          <w:lang w:eastAsia="ru-RU"/>
        </w:rPr>
        <w:t xml:space="preserve"> при</w:t>
      </w:r>
      <w:r w:rsidRPr="005A46FC">
        <w:rPr>
          <w:rFonts w:ascii="Times New Roman" w:eastAsia="Times New Roman" w:hAnsi="Times New Roman"/>
          <w:i/>
          <w:iCs/>
          <w:sz w:val="24"/>
          <w:szCs w:val="24"/>
          <w:lang w:eastAsia="ru-RU"/>
        </w:rPr>
        <w:t xml:space="preserve"> ГЦР</w:t>
      </w:r>
    </w:p>
    <w:p w14:paraId="5E879347" w14:textId="77777777" w:rsidR="00EE3BB9" w:rsidRPr="005A46FC" w:rsidRDefault="00EE3BB9" w:rsidP="00EE3BB9">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При лечении некоторых побочных реакций может потребоваться прерывание, коррекция дозы или прекращение терапии ленватинибом. Нежелательные реакции легкой и средней степени тяжести (например, 1 или 2 степени) обычно не требуют прекращения приема ленватиниба, за исключением случаев непереносимости пациентом, несмотря на эффективность лечения. Сведения о токсичности, связанной с ленватинибом, см. в таблице 4. Подробная информация о мониторинге, коррекции дозы и прекращении приема представлена в таблице 2.</w:t>
      </w:r>
    </w:p>
    <w:p w14:paraId="1229F784" w14:textId="77777777" w:rsidR="00C27BDD" w:rsidRPr="005A46FC" w:rsidRDefault="00C27BDD" w:rsidP="00EE3BB9">
      <w:pPr>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032"/>
        <w:gridCol w:w="2577"/>
        <w:gridCol w:w="2577"/>
      </w:tblGrid>
      <w:tr w:rsidR="00EE3BB9" w:rsidRPr="005A46FC" w14:paraId="52B2E684" w14:textId="77777777" w:rsidTr="00D87D38">
        <w:tc>
          <w:tcPr>
            <w:tcW w:w="9287" w:type="dxa"/>
            <w:gridSpan w:val="4"/>
            <w:shd w:val="clear" w:color="auto" w:fill="auto"/>
          </w:tcPr>
          <w:p w14:paraId="6F094BEE" w14:textId="77777777" w:rsidR="00EE3BB9" w:rsidRPr="005A46FC" w:rsidRDefault="00EE3BB9"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Таблица 2. Изменение рекомендуемой суточной дозы ленватиниба у пациентов с ГЦР</w:t>
            </w:r>
          </w:p>
        </w:tc>
      </w:tr>
      <w:tr w:rsidR="0068741F" w:rsidRPr="005A46FC" w14:paraId="71FFDC8E" w14:textId="77777777" w:rsidTr="00D87D38">
        <w:tc>
          <w:tcPr>
            <w:tcW w:w="4133" w:type="dxa"/>
            <w:gridSpan w:val="2"/>
            <w:shd w:val="clear" w:color="auto" w:fill="auto"/>
          </w:tcPr>
          <w:p w14:paraId="344235F0" w14:textId="77777777" w:rsidR="0068741F" w:rsidRPr="005A46FC" w:rsidRDefault="0068741F"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Начальная доза</w:t>
            </w:r>
          </w:p>
        </w:tc>
        <w:tc>
          <w:tcPr>
            <w:tcW w:w="2577" w:type="dxa"/>
            <w:shd w:val="clear" w:color="auto" w:fill="auto"/>
          </w:tcPr>
          <w:p w14:paraId="6B1C05D0" w14:textId="77777777" w:rsidR="0068741F" w:rsidRPr="005A46FC" w:rsidRDefault="0068741F"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Масса тела ≥60 кг 12 мг (три 4 мг капсулы перорально один раз в день)</w:t>
            </w:r>
          </w:p>
        </w:tc>
        <w:tc>
          <w:tcPr>
            <w:tcW w:w="2577" w:type="dxa"/>
            <w:shd w:val="clear" w:color="auto" w:fill="auto"/>
          </w:tcPr>
          <w:p w14:paraId="2D17DD4C" w14:textId="77777777" w:rsidR="0068741F" w:rsidRPr="005A46FC" w:rsidRDefault="0068741F"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 xml:space="preserve">Масса тела &lt;60 кг </w:t>
            </w:r>
          </w:p>
          <w:p w14:paraId="07917345" w14:textId="77777777" w:rsidR="0068741F" w:rsidRPr="005A46FC" w:rsidRDefault="0068741F"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b/>
                <w:bCs/>
                <w:sz w:val="24"/>
                <w:szCs w:val="24"/>
                <w:lang w:eastAsia="ru-RU"/>
              </w:rPr>
              <w:t>8 мг (две капсулы по 4 мг перорально один раз в день)</w:t>
            </w:r>
          </w:p>
        </w:tc>
      </w:tr>
      <w:tr w:rsidR="00D72D25" w:rsidRPr="005A46FC" w14:paraId="15878004" w14:textId="77777777" w:rsidTr="00D87D38">
        <w:tc>
          <w:tcPr>
            <w:tcW w:w="9287" w:type="dxa"/>
            <w:gridSpan w:val="4"/>
            <w:shd w:val="clear" w:color="auto" w:fill="auto"/>
          </w:tcPr>
          <w:p w14:paraId="7FBD2027" w14:textId="77777777" w:rsidR="00D72D25" w:rsidRPr="005A46FC" w:rsidRDefault="00D72D25"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Стойкая и непереносимая токсичность 2 или 3 степени</w:t>
            </w:r>
            <w:r w:rsidRPr="005A46FC">
              <w:rPr>
                <w:rFonts w:ascii="Times New Roman" w:eastAsia="Times New Roman" w:hAnsi="Times New Roman"/>
                <w:b/>
                <w:bCs/>
                <w:sz w:val="24"/>
                <w:szCs w:val="24"/>
                <w:vertAlign w:val="superscript"/>
                <w:lang w:eastAsia="ru-RU"/>
              </w:rPr>
              <w:t>a</w:t>
            </w:r>
          </w:p>
        </w:tc>
      </w:tr>
      <w:tr w:rsidR="00EE3BB9" w:rsidRPr="005A46FC" w14:paraId="171DA8C9" w14:textId="77777777" w:rsidTr="00D87D38">
        <w:tc>
          <w:tcPr>
            <w:tcW w:w="2101" w:type="dxa"/>
            <w:shd w:val="clear" w:color="auto" w:fill="auto"/>
          </w:tcPr>
          <w:p w14:paraId="0A46D912" w14:textId="77777777" w:rsidR="00EE3BB9" w:rsidRPr="005A46FC" w:rsidRDefault="00D72D25"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Нежелательная реакция</w:t>
            </w:r>
          </w:p>
        </w:tc>
        <w:tc>
          <w:tcPr>
            <w:tcW w:w="2032" w:type="dxa"/>
            <w:shd w:val="clear" w:color="auto" w:fill="auto"/>
          </w:tcPr>
          <w:p w14:paraId="5B02432E" w14:textId="77777777" w:rsidR="00EE3BB9" w:rsidRPr="005A46FC" w:rsidRDefault="00D72D25"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Модификация</w:t>
            </w:r>
          </w:p>
        </w:tc>
        <w:tc>
          <w:tcPr>
            <w:tcW w:w="2577" w:type="dxa"/>
            <w:shd w:val="clear" w:color="auto" w:fill="auto"/>
          </w:tcPr>
          <w:p w14:paraId="00D82C08" w14:textId="77777777" w:rsidR="00EE3BB9" w:rsidRPr="005A46FC" w:rsidRDefault="00D72D25"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Откорректированная доза</w:t>
            </w:r>
            <w:r w:rsidRPr="005A46FC">
              <w:rPr>
                <w:rFonts w:ascii="Times New Roman" w:eastAsia="Times New Roman" w:hAnsi="Times New Roman"/>
                <w:b/>
                <w:bCs/>
                <w:sz w:val="24"/>
                <w:szCs w:val="24"/>
                <w:vertAlign w:val="superscript"/>
                <w:lang w:val="en-US" w:eastAsia="ru-RU"/>
              </w:rPr>
              <w:t>b</w:t>
            </w:r>
            <w:r w:rsidRPr="005A46FC">
              <w:rPr>
                <w:rFonts w:ascii="Times New Roman" w:eastAsia="Times New Roman" w:hAnsi="Times New Roman"/>
                <w:b/>
                <w:bCs/>
                <w:sz w:val="24"/>
                <w:szCs w:val="24"/>
                <w:vertAlign w:val="superscript"/>
                <w:lang w:eastAsia="ru-RU"/>
              </w:rPr>
              <w:t xml:space="preserve"> </w:t>
            </w:r>
            <w:r w:rsidRPr="005A46FC">
              <w:rPr>
                <w:rFonts w:ascii="Times New Roman" w:eastAsia="Times New Roman" w:hAnsi="Times New Roman"/>
                <w:b/>
                <w:bCs/>
                <w:sz w:val="24"/>
                <w:szCs w:val="24"/>
                <w:lang w:eastAsia="ru-RU"/>
              </w:rPr>
              <w:t>(масса тела ≥60 кг)</w:t>
            </w:r>
          </w:p>
        </w:tc>
        <w:tc>
          <w:tcPr>
            <w:tcW w:w="2577" w:type="dxa"/>
            <w:shd w:val="clear" w:color="auto" w:fill="auto"/>
          </w:tcPr>
          <w:p w14:paraId="001DED1A" w14:textId="77777777" w:rsidR="00EE3BB9" w:rsidRPr="005A46FC" w:rsidRDefault="00D72D25"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Откорректированная доза</w:t>
            </w:r>
            <w:r w:rsidRPr="005A46FC">
              <w:rPr>
                <w:rFonts w:ascii="Times New Roman" w:eastAsia="Times New Roman" w:hAnsi="Times New Roman"/>
                <w:b/>
                <w:bCs/>
                <w:sz w:val="24"/>
                <w:szCs w:val="24"/>
                <w:vertAlign w:val="superscript"/>
                <w:lang w:eastAsia="ru-RU"/>
              </w:rPr>
              <w:t>b</w:t>
            </w:r>
            <w:r w:rsidRPr="005A46FC">
              <w:rPr>
                <w:rFonts w:ascii="Times New Roman" w:eastAsia="Times New Roman" w:hAnsi="Times New Roman"/>
                <w:b/>
                <w:bCs/>
                <w:sz w:val="24"/>
                <w:szCs w:val="24"/>
                <w:lang w:eastAsia="ru-RU"/>
              </w:rPr>
              <w:t xml:space="preserve"> (масса тела &lt;60 кг)</w:t>
            </w:r>
          </w:p>
        </w:tc>
      </w:tr>
      <w:tr w:rsidR="00EE3BB9" w:rsidRPr="005A46FC" w14:paraId="4669CF06" w14:textId="77777777" w:rsidTr="00D87D38">
        <w:tc>
          <w:tcPr>
            <w:tcW w:w="2101" w:type="dxa"/>
            <w:shd w:val="clear" w:color="auto" w:fill="auto"/>
          </w:tcPr>
          <w:p w14:paraId="67E0D7AE" w14:textId="77777777" w:rsidR="00EE3BB9" w:rsidRPr="005A46FC" w:rsidRDefault="00D72D25"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Первичный эпизод</w:t>
            </w:r>
            <w:r w:rsidRPr="005A46FC">
              <w:rPr>
                <w:rFonts w:ascii="Times New Roman" w:eastAsia="Times New Roman" w:hAnsi="Times New Roman"/>
                <w:sz w:val="24"/>
                <w:szCs w:val="24"/>
                <w:vertAlign w:val="superscript"/>
                <w:lang w:eastAsia="ru-RU"/>
              </w:rPr>
              <w:t>с</w:t>
            </w:r>
          </w:p>
        </w:tc>
        <w:tc>
          <w:tcPr>
            <w:tcW w:w="2032" w:type="dxa"/>
            <w:shd w:val="clear" w:color="auto" w:fill="auto"/>
          </w:tcPr>
          <w:p w14:paraId="37BF2C8A" w14:textId="77777777" w:rsidR="00EE3BB9" w:rsidRPr="005A46FC" w:rsidRDefault="00D72D25"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Прерывание до разрешения 0-1 степени или до исходного уровня</w:t>
            </w:r>
            <w:r w:rsidRPr="005A46FC">
              <w:rPr>
                <w:rFonts w:ascii="Times New Roman" w:eastAsia="Times New Roman" w:hAnsi="Times New Roman"/>
                <w:sz w:val="24"/>
                <w:szCs w:val="24"/>
                <w:vertAlign w:val="superscript"/>
                <w:lang w:val="en-US" w:eastAsia="ru-RU"/>
              </w:rPr>
              <w:t>d</w:t>
            </w:r>
          </w:p>
        </w:tc>
        <w:tc>
          <w:tcPr>
            <w:tcW w:w="2577" w:type="dxa"/>
            <w:shd w:val="clear" w:color="auto" w:fill="auto"/>
          </w:tcPr>
          <w:p w14:paraId="3C1C8D6A"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8 мг</w:t>
            </w:r>
          </w:p>
          <w:p w14:paraId="2E69E8D6"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(две капсулы по 4 мг)</w:t>
            </w:r>
          </w:p>
          <w:p w14:paraId="30161E9A" w14:textId="77777777" w:rsidR="00EE3BB9"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перорально один раз в день</w:t>
            </w:r>
          </w:p>
        </w:tc>
        <w:tc>
          <w:tcPr>
            <w:tcW w:w="2577" w:type="dxa"/>
            <w:shd w:val="clear" w:color="auto" w:fill="auto"/>
          </w:tcPr>
          <w:p w14:paraId="5BA0D103"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4 мг</w:t>
            </w:r>
          </w:p>
          <w:p w14:paraId="437F3C7A"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(одна капсула 4 мг)</w:t>
            </w:r>
          </w:p>
          <w:p w14:paraId="033FECBD" w14:textId="77777777" w:rsidR="00EE3BB9"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перорально один раз в день</w:t>
            </w:r>
          </w:p>
        </w:tc>
      </w:tr>
      <w:tr w:rsidR="00EE3BB9" w:rsidRPr="005A46FC" w14:paraId="31333233" w14:textId="77777777" w:rsidTr="00D87D38">
        <w:tc>
          <w:tcPr>
            <w:tcW w:w="2101" w:type="dxa"/>
            <w:shd w:val="clear" w:color="auto" w:fill="auto"/>
          </w:tcPr>
          <w:p w14:paraId="6437F425" w14:textId="77777777" w:rsidR="00EE3BB9" w:rsidRPr="005A46FC" w:rsidRDefault="00D72D25"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Вторичный эпизод (та же реакция либо новая реакция)</w:t>
            </w:r>
          </w:p>
        </w:tc>
        <w:tc>
          <w:tcPr>
            <w:tcW w:w="2032" w:type="dxa"/>
            <w:shd w:val="clear" w:color="auto" w:fill="auto"/>
          </w:tcPr>
          <w:p w14:paraId="519E0D8D" w14:textId="77777777" w:rsidR="00EE3BB9" w:rsidRPr="005A46FC" w:rsidRDefault="00D72D25"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Прерывание до разрешения 0-1 степени или до исходного уровня</w:t>
            </w:r>
            <w:r w:rsidRPr="005A46FC">
              <w:rPr>
                <w:rFonts w:ascii="Times New Roman" w:eastAsia="Times New Roman" w:hAnsi="Times New Roman"/>
                <w:sz w:val="24"/>
                <w:szCs w:val="24"/>
                <w:vertAlign w:val="superscript"/>
                <w:lang w:val="en-US" w:eastAsia="ru-RU"/>
              </w:rPr>
              <w:t>d</w:t>
            </w:r>
          </w:p>
        </w:tc>
        <w:tc>
          <w:tcPr>
            <w:tcW w:w="2577" w:type="dxa"/>
            <w:shd w:val="clear" w:color="auto" w:fill="auto"/>
          </w:tcPr>
          <w:p w14:paraId="377AB975"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4 мг</w:t>
            </w:r>
          </w:p>
          <w:p w14:paraId="7A29922B" w14:textId="77777777" w:rsidR="00EE3BB9"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(одна капсула 4 мг) перорально один раз в день</w:t>
            </w:r>
          </w:p>
        </w:tc>
        <w:tc>
          <w:tcPr>
            <w:tcW w:w="2577" w:type="dxa"/>
            <w:shd w:val="clear" w:color="auto" w:fill="auto"/>
          </w:tcPr>
          <w:p w14:paraId="27D98591"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4 мг</w:t>
            </w:r>
          </w:p>
          <w:p w14:paraId="5EE5CE96" w14:textId="77777777" w:rsidR="00EE3BB9"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(одна капсула 4 мг) внутрь через день</w:t>
            </w:r>
          </w:p>
        </w:tc>
      </w:tr>
      <w:tr w:rsidR="00EE3BB9" w:rsidRPr="005A46FC" w14:paraId="41E30AC4" w14:textId="77777777" w:rsidTr="00D87D38">
        <w:tc>
          <w:tcPr>
            <w:tcW w:w="2101" w:type="dxa"/>
            <w:shd w:val="clear" w:color="auto" w:fill="auto"/>
          </w:tcPr>
          <w:p w14:paraId="1419A2F9" w14:textId="77777777" w:rsidR="00EE3BB9" w:rsidRPr="005A46FC" w:rsidRDefault="00D72D25"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Третий эпизод (та же реакция либо новая реакция)</w:t>
            </w:r>
          </w:p>
        </w:tc>
        <w:tc>
          <w:tcPr>
            <w:tcW w:w="2032" w:type="dxa"/>
            <w:shd w:val="clear" w:color="auto" w:fill="auto"/>
          </w:tcPr>
          <w:p w14:paraId="368DF922" w14:textId="77777777" w:rsidR="00EE3BB9" w:rsidRPr="005A46FC" w:rsidRDefault="00D72D25"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Прерывание до разрешения 0-1 степени или до исходного уровня</w:t>
            </w:r>
            <w:r w:rsidRPr="005A46FC">
              <w:rPr>
                <w:rFonts w:ascii="Times New Roman" w:eastAsia="Times New Roman" w:hAnsi="Times New Roman"/>
                <w:sz w:val="24"/>
                <w:szCs w:val="24"/>
                <w:vertAlign w:val="superscript"/>
                <w:lang w:val="en-US" w:eastAsia="ru-RU"/>
              </w:rPr>
              <w:t>d</w:t>
            </w:r>
          </w:p>
        </w:tc>
        <w:tc>
          <w:tcPr>
            <w:tcW w:w="2577" w:type="dxa"/>
            <w:shd w:val="clear" w:color="auto" w:fill="auto"/>
          </w:tcPr>
          <w:p w14:paraId="7F9B5C8C"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4 мг</w:t>
            </w:r>
          </w:p>
          <w:p w14:paraId="063A66D7" w14:textId="77777777" w:rsidR="00EE3BB9"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(одна капсула 4 мг) внутрь через день</w:t>
            </w:r>
          </w:p>
        </w:tc>
        <w:tc>
          <w:tcPr>
            <w:tcW w:w="2577" w:type="dxa"/>
            <w:shd w:val="clear" w:color="auto" w:fill="auto"/>
          </w:tcPr>
          <w:p w14:paraId="098802E0" w14:textId="77777777" w:rsidR="00EE3BB9"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Завершить</w:t>
            </w:r>
          </w:p>
        </w:tc>
      </w:tr>
      <w:tr w:rsidR="004A5F33" w:rsidRPr="005A46FC" w14:paraId="0B975CA8" w14:textId="77777777" w:rsidTr="00D87D38">
        <w:tc>
          <w:tcPr>
            <w:tcW w:w="9287" w:type="dxa"/>
            <w:gridSpan w:val="4"/>
            <w:shd w:val="clear" w:color="auto" w:fill="auto"/>
          </w:tcPr>
          <w:p w14:paraId="3E20CE4E"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Угрожающая жизни токсичность (4 степень): Завершение</w:t>
            </w:r>
            <w:r w:rsidRPr="005A46FC">
              <w:rPr>
                <w:rFonts w:ascii="Times New Roman" w:eastAsia="Times New Roman" w:hAnsi="Times New Roman"/>
                <w:sz w:val="24"/>
                <w:szCs w:val="24"/>
                <w:vertAlign w:val="superscript"/>
                <w:lang w:eastAsia="ru-RU"/>
              </w:rPr>
              <w:t>е</w:t>
            </w:r>
          </w:p>
        </w:tc>
      </w:tr>
      <w:tr w:rsidR="004A5F33" w:rsidRPr="005A46FC" w14:paraId="0651B562" w14:textId="77777777" w:rsidTr="00D87D38">
        <w:tc>
          <w:tcPr>
            <w:tcW w:w="9287" w:type="dxa"/>
            <w:gridSpan w:val="4"/>
            <w:shd w:val="clear" w:color="auto" w:fill="auto"/>
          </w:tcPr>
          <w:p w14:paraId="48CA5619"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а. Начать медикаментозное лечение тошноты, рвоты или диареи до прерывания или снижения дозы.</w:t>
            </w:r>
          </w:p>
          <w:p w14:paraId="1555D859" w14:textId="77777777" w:rsidR="004A5F33" w:rsidRPr="005A46FC" w:rsidRDefault="00B962F4"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en-US" w:eastAsia="ru-RU"/>
              </w:rPr>
              <w:t>b</w:t>
            </w:r>
            <w:r w:rsidR="004A5F33" w:rsidRPr="005A46FC">
              <w:rPr>
                <w:rFonts w:ascii="Times New Roman" w:eastAsia="Times New Roman" w:hAnsi="Times New Roman"/>
                <w:sz w:val="24"/>
                <w:szCs w:val="24"/>
                <w:lang w:eastAsia="ru-RU"/>
              </w:rPr>
              <w:t>. Последовательно снижайте дозу в зависимости от предыдущего уровня дозы (12 мг, 8 мг, 4 мг или 4 мг через день).</w:t>
            </w:r>
          </w:p>
          <w:p w14:paraId="19598AF4" w14:textId="77777777" w:rsidR="004A5F33" w:rsidRPr="005A46FC" w:rsidRDefault="00B962F4"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en-US" w:eastAsia="ru-RU"/>
              </w:rPr>
              <w:t>c</w:t>
            </w:r>
            <w:r w:rsidR="004A5F33" w:rsidRPr="005A46FC">
              <w:rPr>
                <w:rFonts w:ascii="Times New Roman" w:eastAsia="Times New Roman" w:hAnsi="Times New Roman"/>
                <w:sz w:val="24"/>
                <w:szCs w:val="24"/>
                <w:lang w:eastAsia="ru-RU"/>
              </w:rPr>
              <w:t>. Гематологическая токсичность или протеинурия: при первом появлении коррекция дозы не требуется.</w:t>
            </w:r>
          </w:p>
          <w:p w14:paraId="1B346419" w14:textId="77777777" w:rsidR="004A5F33" w:rsidRPr="005A46FC" w:rsidRDefault="00B962F4"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en-US" w:eastAsia="ru-RU"/>
              </w:rPr>
              <w:t>d</w:t>
            </w:r>
            <w:r w:rsidR="004A5F33" w:rsidRPr="005A46FC">
              <w:rPr>
                <w:rFonts w:ascii="Times New Roman" w:eastAsia="Times New Roman" w:hAnsi="Times New Roman"/>
                <w:sz w:val="24"/>
                <w:szCs w:val="24"/>
                <w:lang w:eastAsia="ru-RU"/>
              </w:rPr>
              <w:t xml:space="preserve">. В случае гематологической токсичности дозирование может быть возобновлено при </w:t>
            </w:r>
            <w:r w:rsidRPr="005A46FC">
              <w:rPr>
                <w:rFonts w:ascii="Times New Roman" w:eastAsia="Times New Roman" w:hAnsi="Times New Roman"/>
                <w:sz w:val="24"/>
                <w:szCs w:val="24"/>
                <w:lang w:eastAsia="ru-RU"/>
              </w:rPr>
              <w:t>снижении</w:t>
            </w:r>
            <w:r w:rsidR="004A5F33" w:rsidRPr="005A46FC">
              <w:rPr>
                <w:rFonts w:ascii="Times New Roman" w:eastAsia="Times New Roman" w:hAnsi="Times New Roman"/>
                <w:sz w:val="24"/>
                <w:szCs w:val="24"/>
                <w:lang w:eastAsia="ru-RU"/>
              </w:rPr>
              <w:t xml:space="preserve"> до 2 степени; </w:t>
            </w:r>
            <w:r w:rsidRPr="005A46FC">
              <w:rPr>
                <w:rFonts w:ascii="Times New Roman" w:eastAsia="Times New Roman" w:hAnsi="Times New Roman"/>
                <w:sz w:val="24"/>
                <w:szCs w:val="24"/>
                <w:lang w:eastAsia="ru-RU"/>
              </w:rPr>
              <w:t xml:space="preserve">при </w:t>
            </w:r>
            <w:r w:rsidR="004A5F33" w:rsidRPr="005A46FC">
              <w:rPr>
                <w:rFonts w:ascii="Times New Roman" w:eastAsia="Times New Roman" w:hAnsi="Times New Roman"/>
                <w:sz w:val="24"/>
                <w:szCs w:val="24"/>
                <w:lang w:eastAsia="ru-RU"/>
              </w:rPr>
              <w:t>протеинури</w:t>
            </w:r>
            <w:r w:rsidRPr="005A46FC">
              <w:rPr>
                <w:rFonts w:ascii="Times New Roman" w:eastAsia="Times New Roman" w:hAnsi="Times New Roman"/>
                <w:sz w:val="24"/>
                <w:szCs w:val="24"/>
                <w:lang w:eastAsia="ru-RU"/>
              </w:rPr>
              <w:t>и -</w:t>
            </w:r>
            <w:r w:rsidR="004A5F33" w:rsidRPr="005A46FC">
              <w:rPr>
                <w:rFonts w:ascii="Times New Roman" w:eastAsia="Times New Roman" w:hAnsi="Times New Roman"/>
                <w:sz w:val="24"/>
                <w:szCs w:val="24"/>
                <w:lang w:eastAsia="ru-RU"/>
              </w:rPr>
              <w:t xml:space="preserve"> возобновить, когда сни</w:t>
            </w:r>
            <w:r w:rsidRPr="005A46FC">
              <w:rPr>
                <w:rFonts w:ascii="Times New Roman" w:eastAsia="Times New Roman" w:hAnsi="Times New Roman"/>
                <w:sz w:val="24"/>
                <w:szCs w:val="24"/>
                <w:lang w:eastAsia="ru-RU"/>
              </w:rPr>
              <w:t>зится</w:t>
            </w:r>
            <w:r w:rsidR="004A5F33" w:rsidRPr="005A46FC">
              <w:rPr>
                <w:rFonts w:ascii="Times New Roman" w:eastAsia="Times New Roman" w:hAnsi="Times New Roman"/>
                <w:sz w:val="24"/>
                <w:szCs w:val="24"/>
                <w:lang w:eastAsia="ru-RU"/>
              </w:rPr>
              <w:t xml:space="preserve"> до менее 2 г/24 часа.</w:t>
            </w:r>
          </w:p>
          <w:p w14:paraId="43F0C210"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е. За исключением лабораторных отклонений, признанных неопасными для жизни, которые следует лечить как </w:t>
            </w:r>
            <w:r w:rsidR="00023BF0" w:rsidRPr="005A46FC">
              <w:rPr>
                <w:rFonts w:ascii="Times New Roman" w:eastAsia="Times New Roman" w:hAnsi="Times New Roman"/>
                <w:sz w:val="24"/>
                <w:szCs w:val="24"/>
                <w:lang w:eastAsia="ru-RU"/>
              </w:rPr>
              <w:t xml:space="preserve">3 </w:t>
            </w:r>
            <w:r w:rsidRPr="005A46FC">
              <w:rPr>
                <w:rFonts w:ascii="Times New Roman" w:eastAsia="Times New Roman" w:hAnsi="Times New Roman"/>
                <w:sz w:val="24"/>
                <w:szCs w:val="24"/>
                <w:lang w:eastAsia="ru-RU"/>
              </w:rPr>
              <w:t>степень.</w:t>
            </w:r>
          </w:p>
        </w:tc>
      </w:tr>
    </w:tbl>
    <w:p w14:paraId="07A834B7" w14:textId="77777777" w:rsidR="00C27BDD" w:rsidRPr="005A46FC" w:rsidRDefault="00C27BDD" w:rsidP="00EE3BB9">
      <w:pPr>
        <w:spacing w:after="0" w:line="240" w:lineRule="auto"/>
        <w:jc w:val="both"/>
        <w:rPr>
          <w:rFonts w:ascii="Times New Roman" w:eastAsia="Times New Roman" w:hAnsi="Times New Roman"/>
          <w:sz w:val="24"/>
          <w:szCs w:val="24"/>
          <w:lang w:eastAsia="ru-RU"/>
        </w:rPr>
      </w:pPr>
    </w:p>
    <w:p w14:paraId="5AFB083A" w14:textId="77777777" w:rsidR="00EE3BB9" w:rsidRPr="005A46FC" w:rsidRDefault="00023BF0" w:rsidP="00EE3BB9">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Степени основаны на общих терминологических критериях нежелательных явлений (шкала токсичности CTCAE) Национального института рака (NCI).</w:t>
      </w:r>
    </w:p>
    <w:p w14:paraId="6B77784D" w14:textId="77777777" w:rsidR="00023BF0" w:rsidRPr="005A46FC" w:rsidRDefault="00023BF0" w:rsidP="00023BF0">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eastAsia="ru-RU"/>
        </w:rPr>
        <w:t>Рак эндометрия (РЭ)</w:t>
      </w:r>
    </w:p>
    <w:p w14:paraId="614F1D01" w14:textId="77777777" w:rsidR="00023BF0" w:rsidRPr="005A46FC" w:rsidRDefault="00023BF0" w:rsidP="00023BF0">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Рекомендуемая доза препарата Бидифоа составляет 20 мг перорально один раз в сутки в комбинации с пембролизумабом </w:t>
      </w:r>
      <w:r w:rsidR="00181DCB" w:rsidRPr="005A46FC">
        <w:rPr>
          <w:rFonts w:ascii="Times New Roman" w:eastAsia="Times New Roman" w:hAnsi="Times New Roman"/>
          <w:sz w:val="24"/>
          <w:szCs w:val="24"/>
          <w:lang w:eastAsia="ru-RU"/>
        </w:rPr>
        <w:t xml:space="preserve">по 200 мг каждые 3 недели или по 400 мг каждые 6 </w:t>
      </w:r>
      <w:r w:rsidR="00181DCB" w:rsidRPr="005A46FC">
        <w:rPr>
          <w:rFonts w:ascii="Times New Roman" w:eastAsia="Times New Roman" w:hAnsi="Times New Roman"/>
          <w:sz w:val="24"/>
          <w:szCs w:val="24"/>
          <w:lang w:eastAsia="ru-RU"/>
        </w:rPr>
        <w:lastRenderedPageBreak/>
        <w:t xml:space="preserve">недель в виде внутривенной инфузии в течение 30 минут до появления неприемлемой токсичности или прогрессирования заболевания </w:t>
      </w:r>
      <w:r w:rsidRPr="005A46FC">
        <w:rPr>
          <w:rFonts w:ascii="Times New Roman" w:eastAsia="Times New Roman" w:hAnsi="Times New Roman"/>
          <w:sz w:val="24"/>
          <w:szCs w:val="24"/>
          <w:lang w:eastAsia="ru-RU"/>
        </w:rPr>
        <w:t>(см. раздел 5.1).</w:t>
      </w:r>
    </w:p>
    <w:p w14:paraId="33189318" w14:textId="77777777" w:rsidR="00DA2427" w:rsidRPr="005A46FC" w:rsidRDefault="00023BF0" w:rsidP="00023BF0">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Дополнительную информацию о дозировке </w:t>
      </w:r>
      <w:r w:rsidR="00B2586D" w:rsidRPr="005A46FC">
        <w:rPr>
          <w:rFonts w:ascii="Times New Roman" w:eastAsia="Times New Roman" w:hAnsi="Times New Roman"/>
          <w:sz w:val="24"/>
          <w:szCs w:val="24"/>
          <w:lang w:eastAsia="ru-RU"/>
        </w:rPr>
        <w:t xml:space="preserve">пембролизумаба </w:t>
      </w:r>
      <w:r w:rsidRPr="005A46FC">
        <w:rPr>
          <w:rFonts w:ascii="Times New Roman" w:eastAsia="Times New Roman" w:hAnsi="Times New Roman"/>
          <w:sz w:val="24"/>
          <w:szCs w:val="24"/>
          <w:lang w:eastAsia="ru-RU"/>
        </w:rPr>
        <w:t xml:space="preserve">см. в </w:t>
      </w:r>
      <w:r w:rsidR="00B2586D" w:rsidRPr="005A46FC">
        <w:rPr>
          <w:rFonts w:ascii="Times New Roman" w:eastAsia="Times New Roman" w:hAnsi="Times New Roman"/>
          <w:sz w:val="24"/>
          <w:szCs w:val="24"/>
          <w:lang w:eastAsia="ru-RU"/>
        </w:rPr>
        <w:t xml:space="preserve">соответствующей </w:t>
      </w:r>
      <w:r w:rsidRPr="005A46FC">
        <w:rPr>
          <w:rFonts w:ascii="Times New Roman" w:eastAsia="Times New Roman" w:hAnsi="Times New Roman"/>
          <w:sz w:val="24"/>
          <w:szCs w:val="24"/>
          <w:lang w:eastAsia="ru-RU"/>
        </w:rPr>
        <w:t>инструкции по применению.</w:t>
      </w:r>
    </w:p>
    <w:p w14:paraId="50CFD07E" w14:textId="77777777" w:rsidR="005E0056" w:rsidRPr="005A46FC" w:rsidRDefault="005E0056" w:rsidP="005E0056">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eastAsia="ru-RU"/>
        </w:rPr>
        <w:t>Коррекция дозы и прекращение приема препарата при РЭ</w:t>
      </w:r>
    </w:p>
    <w:p w14:paraId="4F7E4445" w14:textId="77777777" w:rsidR="005E0056" w:rsidRPr="005A46FC" w:rsidRDefault="005E0056" w:rsidP="005E0056">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Сведения о токсичности, связанной с ленватинибом, см. в </w:t>
      </w:r>
      <w:r w:rsidR="00A77907" w:rsidRPr="005A46FC">
        <w:rPr>
          <w:rFonts w:ascii="Times New Roman" w:eastAsia="Times New Roman" w:hAnsi="Times New Roman"/>
          <w:sz w:val="24"/>
          <w:szCs w:val="24"/>
          <w:lang w:eastAsia="ru-RU"/>
        </w:rPr>
        <w:t>т</w:t>
      </w:r>
      <w:r w:rsidRPr="005A46FC">
        <w:rPr>
          <w:rFonts w:ascii="Times New Roman" w:eastAsia="Times New Roman" w:hAnsi="Times New Roman"/>
          <w:sz w:val="24"/>
          <w:szCs w:val="24"/>
          <w:lang w:eastAsia="ru-RU"/>
        </w:rPr>
        <w:t xml:space="preserve">аблице 4. При назначении Бидифоа в комбинации с пембролизумабом следует прервать, снизить дозу или прекратить прием Бидифоа в зависимости от ситуации (см. </w:t>
      </w:r>
      <w:r w:rsidR="00A77907" w:rsidRPr="005A46FC">
        <w:rPr>
          <w:rFonts w:ascii="Times New Roman" w:eastAsia="Times New Roman" w:hAnsi="Times New Roman"/>
          <w:sz w:val="24"/>
          <w:szCs w:val="24"/>
          <w:lang w:eastAsia="ru-RU"/>
        </w:rPr>
        <w:t>т</w:t>
      </w:r>
      <w:r w:rsidRPr="005A46FC">
        <w:rPr>
          <w:rFonts w:ascii="Times New Roman" w:eastAsia="Times New Roman" w:hAnsi="Times New Roman"/>
          <w:sz w:val="24"/>
          <w:szCs w:val="24"/>
          <w:lang w:eastAsia="ru-RU"/>
        </w:rPr>
        <w:t>аблицу 3). Приостановить или прекратить прием пембролизумаба необходимо в соответствии с инструкцией по применению пембролизумаба. Для пембролизумаба не рекомендуется снижение дозы.</w:t>
      </w:r>
    </w:p>
    <w:p w14:paraId="3A0DE462" w14:textId="77777777" w:rsidR="00C27BDD" w:rsidRPr="005A46FC" w:rsidRDefault="00C27BDD" w:rsidP="005E0056">
      <w:pPr>
        <w:spacing w:after="0" w:line="240" w:lineRule="auto"/>
        <w:jc w:val="both"/>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970"/>
        <w:gridCol w:w="4216"/>
      </w:tblGrid>
      <w:tr w:rsidR="005E0056" w:rsidRPr="005A46FC" w14:paraId="79E7A9CB" w14:textId="77777777" w:rsidTr="005E0056">
        <w:tc>
          <w:tcPr>
            <w:tcW w:w="5000" w:type="pct"/>
            <w:gridSpan w:val="3"/>
            <w:shd w:val="clear" w:color="auto" w:fill="auto"/>
          </w:tcPr>
          <w:p w14:paraId="41FF4ADC"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Таблица 3. Изменение рекомендуемой суточной дозы ленватиниба у пациентов с РЭ</w:t>
            </w:r>
            <w:r w:rsidRPr="005A46FC">
              <w:rPr>
                <w:rFonts w:ascii="Times New Roman" w:eastAsia="Times New Roman" w:hAnsi="Times New Roman"/>
                <w:b/>
                <w:bCs/>
                <w:sz w:val="24"/>
                <w:szCs w:val="24"/>
                <w:vertAlign w:val="superscript"/>
                <w:lang w:eastAsia="ru-RU"/>
              </w:rPr>
              <w:t>а</w:t>
            </w:r>
          </w:p>
        </w:tc>
      </w:tr>
      <w:tr w:rsidR="005E0056" w:rsidRPr="005A46FC" w14:paraId="533A4B50" w14:textId="77777777" w:rsidTr="005E0056">
        <w:tc>
          <w:tcPr>
            <w:tcW w:w="2730" w:type="pct"/>
            <w:gridSpan w:val="2"/>
            <w:shd w:val="clear" w:color="auto" w:fill="auto"/>
          </w:tcPr>
          <w:p w14:paraId="4769C2B6"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Начальная доза в комбинации с пембролизумабом</w:t>
            </w:r>
          </w:p>
        </w:tc>
        <w:tc>
          <w:tcPr>
            <w:tcW w:w="2270" w:type="pct"/>
            <w:shd w:val="clear" w:color="auto" w:fill="auto"/>
          </w:tcPr>
          <w:p w14:paraId="3F5FA499"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20 мг перорально один раз в день (две капсулы по 10 мг)</w:t>
            </w:r>
          </w:p>
        </w:tc>
      </w:tr>
      <w:tr w:rsidR="005E0056" w:rsidRPr="005A46FC" w14:paraId="7896222D" w14:textId="77777777" w:rsidTr="005E0056">
        <w:tc>
          <w:tcPr>
            <w:tcW w:w="5000" w:type="pct"/>
            <w:gridSpan w:val="3"/>
            <w:shd w:val="clear" w:color="auto" w:fill="auto"/>
          </w:tcPr>
          <w:p w14:paraId="7E680BB5"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Стойкая и непереносимая токсичность 2 или 3 степени</w:t>
            </w:r>
            <w:r w:rsidRPr="005A46FC">
              <w:rPr>
                <w:rFonts w:ascii="Times New Roman" w:eastAsia="Times New Roman" w:hAnsi="Times New Roman"/>
                <w:b/>
                <w:bCs/>
                <w:sz w:val="24"/>
                <w:szCs w:val="24"/>
                <w:vertAlign w:val="superscript"/>
                <w:lang w:eastAsia="ru-RU"/>
              </w:rPr>
              <w:t>a</w:t>
            </w:r>
          </w:p>
        </w:tc>
      </w:tr>
      <w:tr w:rsidR="005E0056" w:rsidRPr="005A46FC" w14:paraId="5C5B5EE1" w14:textId="77777777" w:rsidTr="005E0056">
        <w:tc>
          <w:tcPr>
            <w:tcW w:w="1131" w:type="pct"/>
            <w:shd w:val="clear" w:color="auto" w:fill="auto"/>
          </w:tcPr>
          <w:p w14:paraId="32AA0944"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Нежелательная реакция</w:t>
            </w:r>
          </w:p>
        </w:tc>
        <w:tc>
          <w:tcPr>
            <w:tcW w:w="1598" w:type="pct"/>
            <w:shd w:val="clear" w:color="auto" w:fill="auto"/>
          </w:tcPr>
          <w:p w14:paraId="4032455A"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Модификация</w:t>
            </w:r>
          </w:p>
        </w:tc>
        <w:tc>
          <w:tcPr>
            <w:tcW w:w="2270" w:type="pct"/>
            <w:shd w:val="clear" w:color="auto" w:fill="auto"/>
          </w:tcPr>
          <w:p w14:paraId="639B6AC1"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Откорректированная доза</w:t>
            </w:r>
          </w:p>
        </w:tc>
      </w:tr>
      <w:tr w:rsidR="005E0056" w:rsidRPr="005A46FC" w14:paraId="058EA7D2" w14:textId="77777777" w:rsidTr="005E0056">
        <w:tc>
          <w:tcPr>
            <w:tcW w:w="1131" w:type="pct"/>
            <w:shd w:val="clear" w:color="auto" w:fill="auto"/>
          </w:tcPr>
          <w:p w14:paraId="3853C5BD"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Первичный эпизод</w:t>
            </w:r>
            <w:r w:rsidRPr="005A46FC">
              <w:rPr>
                <w:rFonts w:ascii="Times New Roman" w:eastAsia="Times New Roman" w:hAnsi="Times New Roman"/>
                <w:sz w:val="24"/>
                <w:szCs w:val="24"/>
                <w:vertAlign w:val="superscript"/>
                <w:lang w:eastAsia="ru-RU"/>
              </w:rPr>
              <w:t>с</w:t>
            </w:r>
          </w:p>
        </w:tc>
        <w:tc>
          <w:tcPr>
            <w:tcW w:w="1598" w:type="pct"/>
            <w:shd w:val="clear" w:color="auto" w:fill="auto"/>
          </w:tcPr>
          <w:p w14:paraId="00D5C200"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Прерывание до </w:t>
            </w:r>
            <w:r w:rsidR="00A77907" w:rsidRPr="005A46FC">
              <w:rPr>
                <w:rFonts w:ascii="Times New Roman" w:eastAsia="Times New Roman" w:hAnsi="Times New Roman"/>
                <w:sz w:val="24"/>
                <w:szCs w:val="24"/>
                <w:lang w:eastAsia="ru-RU"/>
              </w:rPr>
              <w:t>достижения</w:t>
            </w:r>
            <w:r w:rsidRPr="005A46FC">
              <w:rPr>
                <w:rFonts w:ascii="Times New Roman" w:eastAsia="Times New Roman" w:hAnsi="Times New Roman"/>
                <w:sz w:val="24"/>
                <w:szCs w:val="24"/>
                <w:lang w:eastAsia="ru-RU"/>
              </w:rPr>
              <w:t xml:space="preserve"> 0-1 степени или до исходного уровня</w:t>
            </w:r>
            <w:r w:rsidRPr="005A46FC">
              <w:rPr>
                <w:rFonts w:ascii="Times New Roman" w:eastAsia="Times New Roman" w:hAnsi="Times New Roman"/>
                <w:sz w:val="24"/>
                <w:szCs w:val="24"/>
                <w:vertAlign w:val="superscript"/>
                <w:lang w:val="en-US" w:eastAsia="ru-RU"/>
              </w:rPr>
              <w:t>d</w:t>
            </w:r>
          </w:p>
        </w:tc>
        <w:tc>
          <w:tcPr>
            <w:tcW w:w="2270" w:type="pct"/>
            <w:shd w:val="clear" w:color="auto" w:fill="auto"/>
          </w:tcPr>
          <w:p w14:paraId="2380216A"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14 мг перорально один раз в день (одна капсула 10 мг + одна капсула 4 мг)</w:t>
            </w:r>
          </w:p>
        </w:tc>
      </w:tr>
      <w:tr w:rsidR="005E0056" w:rsidRPr="005A46FC" w14:paraId="714B1A12" w14:textId="77777777" w:rsidTr="005E0056">
        <w:tc>
          <w:tcPr>
            <w:tcW w:w="1131" w:type="pct"/>
            <w:shd w:val="clear" w:color="auto" w:fill="auto"/>
          </w:tcPr>
          <w:p w14:paraId="4CC8C6C4"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Вторичный эпизод (та же реакция либо новая реакция)</w:t>
            </w:r>
          </w:p>
        </w:tc>
        <w:tc>
          <w:tcPr>
            <w:tcW w:w="1598" w:type="pct"/>
            <w:shd w:val="clear" w:color="auto" w:fill="auto"/>
          </w:tcPr>
          <w:p w14:paraId="4D7E3A7C"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Прерывание до </w:t>
            </w:r>
            <w:r w:rsidR="00A77907" w:rsidRPr="005A46FC">
              <w:rPr>
                <w:rFonts w:ascii="Times New Roman" w:eastAsia="Times New Roman" w:hAnsi="Times New Roman"/>
                <w:sz w:val="24"/>
                <w:szCs w:val="24"/>
                <w:lang w:eastAsia="ru-RU"/>
              </w:rPr>
              <w:t>достижения</w:t>
            </w:r>
            <w:r w:rsidRPr="005A46FC">
              <w:rPr>
                <w:rFonts w:ascii="Times New Roman" w:eastAsia="Times New Roman" w:hAnsi="Times New Roman"/>
                <w:sz w:val="24"/>
                <w:szCs w:val="24"/>
                <w:lang w:eastAsia="ru-RU"/>
              </w:rPr>
              <w:t xml:space="preserve"> 0-1 степени или до исходного уровня</w:t>
            </w:r>
            <w:r w:rsidRPr="005A46FC">
              <w:rPr>
                <w:rFonts w:ascii="Times New Roman" w:eastAsia="Times New Roman" w:hAnsi="Times New Roman"/>
                <w:sz w:val="24"/>
                <w:szCs w:val="24"/>
                <w:vertAlign w:val="superscript"/>
                <w:lang w:val="en-US" w:eastAsia="ru-RU"/>
              </w:rPr>
              <w:t>d</w:t>
            </w:r>
          </w:p>
        </w:tc>
        <w:tc>
          <w:tcPr>
            <w:tcW w:w="2270" w:type="pct"/>
            <w:shd w:val="clear" w:color="auto" w:fill="auto"/>
          </w:tcPr>
          <w:p w14:paraId="7E969124"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10 мг перорально один раз в день (одна капсула 10 мг)</w:t>
            </w:r>
          </w:p>
        </w:tc>
      </w:tr>
      <w:tr w:rsidR="005E0056" w:rsidRPr="005A46FC" w14:paraId="09B11782" w14:textId="77777777" w:rsidTr="005E0056">
        <w:tc>
          <w:tcPr>
            <w:tcW w:w="1131" w:type="pct"/>
            <w:shd w:val="clear" w:color="auto" w:fill="auto"/>
          </w:tcPr>
          <w:p w14:paraId="69341873"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Третий эпизод (та же реакция либо новая реакция)</w:t>
            </w:r>
          </w:p>
        </w:tc>
        <w:tc>
          <w:tcPr>
            <w:tcW w:w="1598" w:type="pct"/>
            <w:shd w:val="clear" w:color="auto" w:fill="auto"/>
          </w:tcPr>
          <w:p w14:paraId="0E9AF3FC"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Прерывание до </w:t>
            </w:r>
            <w:r w:rsidR="00A77907" w:rsidRPr="005A46FC">
              <w:rPr>
                <w:rFonts w:ascii="Times New Roman" w:eastAsia="Times New Roman" w:hAnsi="Times New Roman"/>
                <w:sz w:val="24"/>
                <w:szCs w:val="24"/>
                <w:lang w:eastAsia="ru-RU"/>
              </w:rPr>
              <w:t>достижения</w:t>
            </w:r>
            <w:r w:rsidRPr="005A46FC">
              <w:rPr>
                <w:rFonts w:ascii="Times New Roman" w:eastAsia="Times New Roman" w:hAnsi="Times New Roman"/>
                <w:sz w:val="24"/>
                <w:szCs w:val="24"/>
                <w:lang w:eastAsia="ru-RU"/>
              </w:rPr>
              <w:t xml:space="preserve"> 0-1 степени или до исходного уровня</w:t>
            </w:r>
            <w:r w:rsidRPr="005A46FC">
              <w:rPr>
                <w:rFonts w:ascii="Times New Roman" w:eastAsia="Times New Roman" w:hAnsi="Times New Roman"/>
                <w:sz w:val="24"/>
                <w:szCs w:val="24"/>
                <w:vertAlign w:val="superscript"/>
                <w:lang w:val="en-US" w:eastAsia="ru-RU"/>
              </w:rPr>
              <w:t>d</w:t>
            </w:r>
          </w:p>
        </w:tc>
        <w:tc>
          <w:tcPr>
            <w:tcW w:w="2270" w:type="pct"/>
            <w:shd w:val="clear" w:color="auto" w:fill="auto"/>
          </w:tcPr>
          <w:p w14:paraId="698EB5DA"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8 мг перорально один раз в день</w:t>
            </w:r>
          </w:p>
          <w:p w14:paraId="22E36BF3"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(две капсулы по 4 мг)</w:t>
            </w:r>
          </w:p>
        </w:tc>
      </w:tr>
      <w:tr w:rsidR="005E0056" w:rsidRPr="005A46FC" w14:paraId="3D962860" w14:textId="77777777" w:rsidTr="005E0056">
        <w:tc>
          <w:tcPr>
            <w:tcW w:w="5000" w:type="pct"/>
            <w:gridSpan w:val="3"/>
            <w:shd w:val="clear" w:color="auto" w:fill="auto"/>
          </w:tcPr>
          <w:p w14:paraId="69DF7B9D"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Угрожающая жизни токсичность (4 степень): Завершение</w:t>
            </w:r>
            <w:r w:rsidRPr="005A46FC">
              <w:rPr>
                <w:rFonts w:ascii="Times New Roman" w:eastAsia="Times New Roman" w:hAnsi="Times New Roman"/>
                <w:sz w:val="24"/>
                <w:szCs w:val="24"/>
                <w:vertAlign w:val="superscript"/>
                <w:lang w:eastAsia="ru-RU"/>
              </w:rPr>
              <w:t>е</w:t>
            </w:r>
          </w:p>
        </w:tc>
      </w:tr>
      <w:tr w:rsidR="005E0056" w:rsidRPr="005A46FC" w14:paraId="129CFD48" w14:textId="77777777" w:rsidTr="005E0056">
        <w:tc>
          <w:tcPr>
            <w:tcW w:w="5000" w:type="pct"/>
            <w:gridSpan w:val="3"/>
            <w:shd w:val="clear" w:color="auto" w:fill="auto"/>
          </w:tcPr>
          <w:p w14:paraId="4497CBC2" w14:textId="77777777" w:rsidR="005E0056" w:rsidRPr="005A46FC" w:rsidRDefault="005E0056" w:rsidP="005E0056">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а. Имеются ограниченные данные для доз ниже 8 мг.</w:t>
            </w:r>
          </w:p>
          <w:p w14:paraId="0E70A600"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б. Лечение следует прекратить в случае возникновения опасных для жизни реакций (например, 4-й степени), за исключением отклонений лабораторных показателей, которые считаются неопасными для жизни, и в этом случае их следует лечить как тяжелые реакции (например, 3-й степени).</w:t>
            </w:r>
          </w:p>
        </w:tc>
      </w:tr>
    </w:tbl>
    <w:p w14:paraId="2BAD7E3C" w14:textId="77777777" w:rsidR="005E0056" w:rsidRPr="005A46FC" w:rsidRDefault="005E0056" w:rsidP="005E0056">
      <w:pPr>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371"/>
        <w:gridCol w:w="2314"/>
        <w:gridCol w:w="2229"/>
      </w:tblGrid>
      <w:tr w:rsidR="005E0056" w:rsidRPr="005A46FC" w14:paraId="134207A2" w14:textId="77777777" w:rsidTr="00005A3D">
        <w:tc>
          <w:tcPr>
            <w:tcW w:w="9287" w:type="dxa"/>
            <w:gridSpan w:val="4"/>
            <w:shd w:val="clear" w:color="auto" w:fill="auto"/>
          </w:tcPr>
          <w:p w14:paraId="39D09DC9"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Таблица 4 Нежелательные реакции требующие коррекции дозы ленватиниба</w:t>
            </w:r>
          </w:p>
        </w:tc>
      </w:tr>
      <w:tr w:rsidR="005E0056" w:rsidRPr="005A46FC" w14:paraId="111F5D7A" w14:textId="77777777" w:rsidTr="00517F15">
        <w:tc>
          <w:tcPr>
            <w:tcW w:w="2373" w:type="dxa"/>
            <w:shd w:val="clear" w:color="auto" w:fill="auto"/>
          </w:tcPr>
          <w:p w14:paraId="672B7CA2"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Нежелательная реакция</w:t>
            </w:r>
          </w:p>
        </w:tc>
        <w:tc>
          <w:tcPr>
            <w:tcW w:w="2371" w:type="dxa"/>
            <w:shd w:val="clear" w:color="auto" w:fill="auto"/>
          </w:tcPr>
          <w:p w14:paraId="0A594831"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Тяжесть</w:t>
            </w:r>
          </w:p>
        </w:tc>
        <w:tc>
          <w:tcPr>
            <w:tcW w:w="2314" w:type="dxa"/>
            <w:shd w:val="clear" w:color="auto" w:fill="auto"/>
          </w:tcPr>
          <w:p w14:paraId="1E334483"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Действие, которое необходимо предпринять</w:t>
            </w:r>
          </w:p>
        </w:tc>
        <w:tc>
          <w:tcPr>
            <w:tcW w:w="2229" w:type="dxa"/>
            <w:shd w:val="clear" w:color="auto" w:fill="auto"/>
          </w:tcPr>
          <w:p w14:paraId="2FD81EB9"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Снижение дозы и возобновление приема</w:t>
            </w:r>
            <w:r w:rsidR="00741D39" w:rsidRPr="005A46FC">
              <w:rPr>
                <w:rFonts w:ascii="Times New Roman" w:eastAsia="Times New Roman" w:hAnsi="Times New Roman"/>
                <w:b/>
                <w:bCs/>
                <w:sz w:val="24"/>
                <w:szCs w:val="24"/>
                <w:lang w:eastAsia="ru-RU"/>
              </w:rPr>
              <w:t xml:space="preserve"> </w:t>
            </w:r>
            <w:r w:rsidRPr="005A46FC">
              <w:rPr>
                <w:rFonts w:ascii="Times New Roman" w:eastAsia="Times New Roman" w:hAnsi="Times New Roman"/>
                <w:b/>
                <w:bCs/>
                <w:sz w:val="24"/>
                <w:szCs w:val="24"/>
                <w:lang w:eastAsia="ru-RU"/>
              </w:rPr>
              <w:t>ленватиниба</w:t>
            </w:r>
          </w:p>
        </w:tc>
      </w:tr>
      <w:tr w:rsidR="00741D39" w:rsidRPr="005A46FC" w14:paraId="09F81310" w14:textId="77777777" w:rsidTr="00517F15">
        <w:trPr>
          <w:trHeight w:val="828"/>
        </w:trPr>
        <w:tc>
          <w:tcPr>
            <w:tcW w:w="2373" w:type="dxa"/>
            <w:vMerge w:val="restart"/>
            <w:shd w:val="clear" w:color="auto" w:fill="auto"/>
          </w:tcPr>
          <w:p w14:paraId="7B51C29F"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Гипертензия</w:t>
            </w:r>
          </w:p>
        </w:tc>
        <w:tc>
          <w:tcPr>
            <w:tcW w:w="2371" w:type="dxa"/>
            <w:shd w:val="clear" w:color="auto" w:fill="auto"/>
          </w:tcPr>
          <w:p w14:paraId="0AA43B89"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3</w:t>
            </w:r>
          </w:p>
          <w:p w14:paraId="598CAE4A"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(несмотря на оптимальную антигипертензивную терапию)</w:t>
            </w:r>
          </w:p>
        </w:tc>
        <w:tc>
          <w:tcPr>
            <w:tcW w:w="2314" w:type="dxa"/>
            <w:shd w:val="clear" w:color="auto" w:fill="auto"/>
          </w:tcPr>
          <w:p w14:paraId="05073D94"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01D21170"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степени 0, 1 или 2.</w:t>
            </w:r>
          </w:p>
          <w:p w14:paraId="72F3B1C7"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Детальную информацию см. в таблице 5 в разделе 4.4.</w:t>
            </w:r>
          </w:p>
        </w:tc>
      </w:tr>
      <w:tr w:rsidR="00741D39" w:rsidRPr="005A46FC" w14:paraId="77174563" w14:textId="77777777" w:rsidTr="00FE22FD">
        <w:trPr>
          <w:trHeight w:val="617"/>
        </w:trPr>
        <w:tc>
          <w:tcPr>
            <w:tcW w:w="2373" w:type="dxa"/>
            <w:vMerge/>
            <w:shd w:val="clear" w:color="auto" w:fill="auto"/>
          </w:tcPr>
          <w:p w14:paraId="0D000948"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5570D909"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w:t>
            </w:r>
          </w:p>
        </w:tc>
        <w:tc>
          <w:tcPr>
            <w:tcW w:w="2314" w:type="dxa"/>
            <w:shd w:val="clear" w:color="auto" w:fill="auto"/>
          </w:tcPr>
          <w:p w14:paraId="65430BDA"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582AA560"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2341EB" w:rsidRPr="005A46FC" w14:paraId="1198E244" w14:textId="77777777" w:rsidTr="00517F15">
        <w:tc>
          <w:tcPr>
            <w:tcW w:w="2373" w:type="dxa"/>
            <w:shd w:val="clear" w:color="auto" w:fill="auto"/>
          </w:tcPr>
          <w:p w14:paraId="52CDEE49" w14:textId="77777777" w:rsidR="002341EB" w:rsidRPr="005A46FC" w:rsidRDefault="002341EB"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Протеинурия</w:t>
            </w:r>
          </w:p>
        </w:tc>
        <w:tc>
          <w:tcPr>
            <w:tcW w:w="2371" w:type="dxa"/>
            <w:shd w:val="clear" w:color="auto" w:fill="auto"/>
          </w:tcPr>
          <w:p w14:paraId="413B4228" w14:textId="77777777" w:rsidR="002341EB"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2 г / 24 ч</w:t>
            </w:r>
          </w:p>
        </w:tc>
        <w:tc>
          <w:tcPr>
            <w:tcW w:w="2314" w:type="dxa"/>
            <w:shd w:val="clear" w:color="auto" w:fill="auto"/>
          </w:tcPr>
          <w:p w14:paraId="1965D7FE" w14:textId="77777777" w:rsidR="002341EB" w:rsidRPr="005A46FC" w:rsidRDefault="00C5126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731BEE7B" w14:textId="77777777" w:rsidR="002341EB"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уровня менее 2 г/24 часа.</w:t>
            </w:r>
          </w:p>
        </w:tc>
      </w:tr>
      <w:tr w:rsidR="005E0056" w:rsidRPr="005A46FC" w14:paraId="3F4D696F" w14:textId="77777777" w:rsidTr="00517F15">
        <w:tc>
          <w:tcPr>
            <w:tcW w:w="2373" w:type="dxa"/>
            <w:shd w:val="clear" w:color="auto" w:fill="auto"/>
          </w:tcPr>
          <w:p w14:paraId="312D0EAA"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lastRenderedPageBreak/>
              <w:t>Нефротический синдром</w:t>
            </w:r>
          </w:p>
        </w:tc>
        <w:tc>
          <w:tcPr>
            <w:tcW w:w="2371" w:type="dxa"/>
            <w:shd w:val="clear" w:color="auto" w:fill="auto"/>
          </w:tcPr>
          <w:p w14:paraId="28985FEF" w14:textId="77777777" w:rsidR="005E0056" w:rsidRPr="005A46FC" w:rsidRDefault="00517F15" w:rsidP="00005A3D">
            <w:pPr>
              <w:spacing w:after="0" w:line="240" w:lineRule="auto"/>
              <w:jc w:val="both"/>
              <w:rPr>
                <w:rFonts w:ascii="Times New Roman" w:eastAsia="Times New Roman" w:hAnsi="Times New Roman"/>
                <w:sz w:val="24"/>
                <w:szCs w:val="24"/>
                <w:lang w:val="en-US" w:eastAsia="ru-RU"/>
              </w:rPr>
            </w:pPr>
            <w:r w:rsidRPr="005A46FC">
              <w:rPr>
                <w:rFonts w:ascii="Times New Roman" w:eastAsia="Times New Roman" w:hAnsi="Times New Roman"/>
                <w:sz w:val="24"/>
                <w:szCs w:val="24"/>
                <w:lang w:val="en-US" w:eastAsia="ru-RU"/>
              </w:rPr>
              <w:t>------</w:t>
            </w:r>
          </w:p>
        </w:tc>
        <w:tc>
          <w:tcPr>
            <w:tcW w:w="2314" w:type="dxa"/>
            <w:shd w:val="clear" w:color="auto" w:fill="auto"/>
          </w:tcPr>
          <w:p w14:paraId="78A514EF" w14:textId="77777777" w:rsidR="005E0056"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70210F1B" w14:textId="77777777" w:rsidR="005E0056"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17F15" w:rsidRPr="005A46FC" w14:paraId="0C005119" w14:textId="77777777" w:rsidTr="00517F15">
        <w:tc>
          <w:tcPr>
            <w:tcW w:w="2373" w:type="dxa"/>
            <w:vMerge w:val="restart"/>
            <w:shd w:val="clear" w:color="auto" w:fill="auto"/>
          </w:tcPr>
          <w:p w14:paraId="17D28D16"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Нарушение функции почек или недостаточность</w:t>
            </w:r>
          </w:p>
        </w:tc>
        <w:tc>
          <w:tcPr>
            <w:tcW w:w="2371" w:type="dxa"/>
            <w:shd w:val="clear" w:color="auto" w:fill="auto"/>
          </w:tcPr>
          <w:p w14:paraId="037B3C98"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3</w:t>
            </w:r>
          </w:p>
        </w:tc>
        <w:tc>
          <w:tcPr>
            <w:tcW w:w="2314" w:type="dxa"/>
            <w:shd w:val="clear" w:color="auto" w:fill="auto"/>
          </w:tcPr>
          <w:p w14:paraId="29D03E28"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34ED3B14"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степени 0-1 или до исходного уровня</w:t>
            </w:r>
          </w:p>
        </w:tc>
      </w:tr>
      <w:tr w:rsidR="00517F15" w:rsidRPr="005A46FC" w14:paraId="7F513EF0" w14:textId="77777777" w:rsidTr="00517F15">
        <w:tc>
          <w:tcPr>
            <w:tcW w:w="2373" w:type="dxa"/>
            <w:vMerge/>
            <w:shd w:val="clear" w:color="auto" w:fill="auto"/>
          </w:tcPr>
          <w:p w14:paraId="0333F5F7"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7B6FBBF3"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w:t>
            </w:r>
          </w:p>
        </w:tc>
        <w:tc>
          <w:tcPr>
            <w:tcW w:w="2314" w:type="dxa"/>
            <w:shd w:val="clear" w:color="auto" w:fill="auto"/>
          </w:tcPr>
          <w:p w14:paraId="088A5477"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3DD71519"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17F15" w:rsidRPr="005A46FC" w14:paraId="10D90143" w14:textId="77777777" w:rsidTr="00517F15">
        <w:tc>
          <w:tcPr>
            <w:tcW w:w="2373" w:type="dxa"/>
            <w:vMerge w:val="restart"/>
            <w:shd w:val="clear" w:color="auto" w:fill="auto"/>
          </w:tcPr>
          <w:p w14:paraId="6AE87BBD"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Сердечная дисфункция</w:t>
            </w:r>
          </w:p>
        </w:tc>
        <w:tc>
          <w:tcPr>
            <w:tcW w:w="2371" w:type="dxa"/>
            <w:shd w:val="clear" w:color="auto" w:fill="auto"/>
          </w:tcPr>
          <w:p w14:paraId="73DFF9EB"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hAnsi="Times New Roman"/>
                <w:sz w:val="24"/>
                <w:szCs w:val="24"/>
              </w:rPr>
              <w:t>Степень 3</w:t>
            </w:r>
          </w:p>
        </w:tc>
        <w:tc>
          <w:tcPr>
            <w:tcW w:w="2314" w:type="dxa"/>
            <w:shd w:val="clear" w:color="auto" w:fill="auto"/>
          </w:tcPr>
          <w:p w14:paraId="72839ABD"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3DD433EE"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степени 0-1 или до исходного уровня</w:t>
            </w:r>
          </w:p>
        </w:tc>
      </w:tr>
      <w:tr w:rsidR="00517F15" w:rsidRPr="005A46FC" w14:paraId="1EAD5BDF" w14:textId="77777777" w:rsidTr="00517F15">
        <w:tc>
          <w:tcPr>
            <w:tcW w:w="2373" w:type="dxa"/>
            <w:vMerge/>
            <w:shd w:val="clear" w:color="auto" w:fill="auto"/>
          </w:tcPr>
          <w:p w14:paraId="70122BF9"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042DD7FC"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hAnsi="Times New Roman"/>
                <w:sz w:val="24"/>
                <w:szCs w:val="24"/>
              </w:rPr>
              <w:t>Степень 4</w:t>
            </w:r>
          </w:p>
        </w:tc>
        <w:tc>
          <w:tcPr>
            <w:tcW w:w="2314" w:type="dxa"/>
            <w:shd w:val="clear" w:color="auto" w:fill="auto"/>
          </w:tcPr>
          <w:p w14:paraId="6DC3A101"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0504A7FE"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E0056" w:rsidRPr="005A46FC" w14:paraId="515D0A39" w14:textId="77777777" w:rsidTr="00517F15">
        <w:tc>
          <w:tcPr>
            <w:tcW w:w="2373" w:type="dxa"/>
            <w:shd w:val="clear" w:color="auto" w:fill="auto"/>
          </w:tcPr>
          <w:p w14:paraId="7BAA2E02"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Синдром задней обратимой энцефалопатии (PRES)/синдром обратимой задней лейкоэнцефалопатии (RPLS)</w:t>
            </w:r>
          </w:p>
        </w:tc>
        <w:tc>
          <w:tcPr>
            <w:tcW w:w="2371" w:type="dxa"/>
            <w:shd w:val="clear" w:color="auto" w:fill="auto"/>
          </w:tcPr>
          <w:p w14:paraId="4AB4052D" w14:textId="77777777" w:rsidR="005E0056"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Любая степень</w:t>
            </w:r>
          </w:p>
        </w:tc>
        <w:tc>
          <w:tcPr>
            <w:tcW w:w="2314" w:type="dxa"/>
            <w:shd w:val="clear" w:color="auto" w:fill="auto"/>
          </w:tcPr>
          <w:p w14:paraId="77377253" w14:textId="77777777" w:rsidR="005E0056"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2529D855" w14:textId="77777777" w:rsidR="005E0056"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Рассмотреть возможность возобновления терапии в уменьшенной дозе, если она снижается до 0–1 степени.</w:t>
            </w:r>
          </w:p>
        </w:tc>
      </w:tr>
      <w:tr w:rsidR="00517F15" w:rsidRPr="005A46FC" w14:paraId="36B070DA" w14:textId="77777777" w:rsidTr="00517F15">
        <w:tc>
          <w:tcPr>
            <w:tcW w:w="2373" w:type="dxa"/>
            <w:vMerge w:val="restart"/>
            <w:shd w:val="clear" w:color="auto" w:fill="auto"/>
          </w:tcPr>
          <w:p w14:paraId="795E0246"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Гепатотоксичность </w:t>
            </w:r>
          </w:p>
        </w:tc>
        <w:tc>
          <w:tcPr>
            <w:tcW w:w="2371" w:type="dxa"/>
            <w:shd w:val="clear" w:color="auto" w:fill="auto"/>
          </w:tcPr>
          <w:p w14:paraId="268A21E8"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3</w:t>
            </w:r>
          </w:p>
        </w:tc>
        <w:tc>
          <w:tcPr>
            <w:tcW w:w="2314" w:type="dxa"/>
            <w:shd w:val="clear" w:color="auto" w:fill="auto"/>
          </w:tcPr>
          <w:p w14:paraId="1C43791B" w14:textId="77777777" w:rsidR="00517F15"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6389C0A5" w14:textId="77777777" w:rsidR="00517F15"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степени 0-1 или до исходного уровня</w:t>
            </w:r>
          </w:p>
        </w:tc>
      </w:tr>
      <w:tr w:rsidR="00517F15" w:rsidRPr="005A46FC" w14:paraId="710DD85C" w14:textId="77777777" w:rsidTr="00517F15">
        <w:tc>
          <w:tcPr>
            <w:tcW w:w="2373" w:type="dxa"/>
            <w:vMerge/>
            <w:shd w:val="clear" w:color="auto" w:fill="auto"/>
          </w:tcPr>
          <w:p w14:paraId="29E63F27"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01117A7D"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w:t>
            </w:r>
          </w:p>
        </w:tc>
        <w:tc>
          <w:tcPr>
            <w:tcW w:w="2314" w:type="dxa"/>
            <w:shd w:val="clear" w:color="auto" w:fill="auto"/>
          </w:tcPr>
          <w:p w14:paraId="1694AD2F" w14:textId="77777777" w:rsidR="00517F15"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60C49826" w14:textId="77777777" w:rsidR="00517F15"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E0056" w:rsidRPr="005A46FC" w14:paraId="311018B5" w14:textId="77777777" w:rsidTr="00517F15">
        <w:tc>
          <w:tcPr>
            <w:tcW w:w="2373" w:type="dxa"/>
            <w:shd w:val="clear" w:color="auto" w:fill="auto"/>
          </w:tcPr>
          <w:p w14:paraId="3B322ED1"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Артериальные тромбоэмболии</w:t>
            </w:r>
          </w:p>
        </w:tc>
        <w:tc>
          <w:tcPr>
            <w:tcW w:w="2371" w:type="dxa"/>
            <w:shd w:val="clear" w:color="auto" w:fill="auto"/>
          </w:tcPr>
          <w:p w14:paraId="0F3AE943"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Любая степень</w:t>
            </w:r>
          </w:p>
        </w:tc>
        <w:tc>
          <w:tcPr>
            <w:tcW w:w="2314" w:type="dxa"/>
            <w:shd w:val="clear" w:color="auto" w:fill="auto"/>
          </w:tcPr>
          <w:p w14:paraId="621360F1"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1C7AE0D5"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EF66E1" w:rsidRPr="005A46FC" w14:paraId="6DFDE478" w14:textId="77777777" w:rsidTr="00517F15">
        <w:tc>
          <w:tcPr>
            <w:tcW w:w="2373" w:type="dxa"/>
            <w:vMerge w:val="restart"/>
            <w:shd w:val="clear" w:color="auto" w:fill="auto"/>
          </w:tcPr>
          <w:p w14:paraId="51909C9D"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Кровотечение</w:t>
            </w:r>
          </w:p>
        </w:tc>
        <w:tc>
          <w:tcPr>
            <w:tcW w:w="2371" w:type="dxa"/>
            <w:shd w:val="clear" w:color="auto" w:fill="auto"/>
          </w:tcPr>
          <w:p w14:paraId="33D50A1A"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3</w:t>
            </w:r>
          </w:p>
        </w:tc>
        <w:tc>
          <w:tcPr>
            <w:tcW w:w="2314" w:type="dxa"/>
            <w:shd w:val="clear" w:color="auto" w:fill="auto"/>
          </w:tcPr>
          <w:p w14:paraId="0EF163D6"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5D8FBACB"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степени 0-1</w:t>
            </w:r>
          </w:p>
        </w:tc>
      </w:tr>
      <w:tr w:rsidR="00EF66E1" w:rsidRPr="005A46FC" w14:paraId="64F606ED" w14:textId="77777777" w:rsidTr="00517F15">
        <w:tc>
          <w:tcPr>
            <w:tcW w:w="2373" w:type="dxa"/>
            <w:vMerge/>
            <w:shd w:val="clear" w:color="auto" w:fill="auto"/>
          </w:tcPr>
          <w:p w14:paraId="4032D0EC"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7885B4FD"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w:t>
            </w:r>
          </w:p>
        </w:tc>
        <w:tc>
          <w:tcPr>
            <w:tcW w:w="2314" w:type="dxa"/>
            <w:shd w:val="clear" w:color="auto" w:fill="auto"/>
          </w:tcPr>
          <w:p w14:paraId="3C7D4426"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2CAC318F"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E0056" w:rsidRPr="005A46FC" w14:paraId="25D73253" w14:textId="77777777" w:rsidTr="00517F15">
        <w:tc>
          <w:tcPr>
            <w:tcW w:w="2373" w:type="dxa"/>
            <w:shd w:val="clear" w:color="auto" w:fill="auto"/>
          </w:tcPr>
          <w:p w14:paraId="4D7492FB"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Желудочно-кишечная перфорация или свищ</w:t>
            </w:r>
          </w:p>
        </w:tc>
        <w:tc>
          <w:tcPr>
            <w:tcW w:w="2371" w:type="dxa"/>
            <w:shd w:val="clear" w:color="auto" w:fill="auto"/>
          </w:tcPr>
          <w:p w14:paraId="0C377BB5"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w:t>
            </w:r>
          </w:p>
        </w:tc>
        <w:tc>
          <w:tcPr>
            <w:tcW w:w="2314" w:type="dxa"/>
            <w:shd w:val="clear" w:color="auto" w:fill="auto"/>
          </w:tcPr>
          <w:p w14:paraId="47917E09"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339CEA59"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E0056" w:rsidRPr="005A46FC" w14:paraId="45223D8D" w14:textId="77777777" w:rsidTr="00517F15">
        <w:tc>
          <w:tcPr>
            <w:tcW w:w="2373" w:type="dxa"/>
            <w:shd w:val="clear" w:color="auto" w:fill="auto"/>
          </w:tcPr>
          <w:p w14:paraId="4BB25366"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Нежелудочно-кишечный свищ</w:t>
            </w:r>
          </w:p>
        </w:tc>
        <w:tc>
          <w:tcPr>
            <w:tcW w:w="2371" w:type="dxa"/>
            <w:shd w:val="clear" w:color="auto" w:fill="auto"/>
          </w:tcPr>
          <w:p w14:paraId="13364135"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w:t>
            </w:r>
          </w:p>
        </w:tc>
        <w:tc>
          <w:tcPr>
            <w:tcW w:w="2314" w:type="dxa"/>
            <w:shd w:val="clear" w:color="auto" w:fill="auto"/>
          </w:tcPr>
          <w:p w14:paraId="237036DE"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22F5A75C"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E0056" w:rsidRPr="005A46FC" w14:paraId="330D54E6" w14:textId="77777777" w:rsidTr="00517F15">
        <w:tc>
          <w:tcPr>
            <w:tcW w:w="2373" w:type="dxa"/>
            <w:shd w:val="clear" w:color="auto" w:fill="auto"/>
          </w:tcPr>
          <w:p w14:paraId="4DA02EDA"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Удлинение интервала QT</w:t>
            </w:r>
          </w:p>
        </w:tc>
        <w:tc>
          <w:tcPr>
            <w:tcW w:w="2371" w:type="dxa"/>
            <w:shd w:val="clear" w:color="auto" w:fill="auto"/>
          </w:tcPr>
          <w:p w14:paraId="153238DD"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en-US" w:eastAsia="ru-RU"/>
              </w:rPr>
              <w:t xml:space="preserve">&gt;500 </w:t>
            </w:r>
            <w:r w:rsidRPr="005A46FC">
              <w:rPr>
                <w:rFonts w:ascii="Times New Roman" w:eastAsia="Times New Roman" w:hAnsi="Times New Roman"/>
                <w:sz w:val="24"/>
                <w:szCs w:val="24"/>
                <w:lang w:eastAsia="ru-RU"/>
              </w:rPr>
              <w:t>мс</w:t>
            </w:r>
          </w:p>
        </w:tc>
        <w:tc>
          <w:tcPr>
            <w:tcW w:w="2314" w:type="dxa"/>
            <w:shd w:val="clear" w:color="auto" w:fill="auto"/>
          </w:tcPr>
          <w:p w14:paraId="42BC3DB1" w14:textId="77777777" w:rsidR="005E0056"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4A978D1C" w14:textId="77777777" w:rsidR="005E0056"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Снижение до &lt;480 мс или исходного уровня</w:t>
            </w:r>
          </w:p>
        </w:tc>
      </w:tr>
      <w:tr w:rsidR="007A5140" w:rsidRPr="005A46FC" w14:paraId="7F0C7505" w14:textId="77777777" w:rsidTr="00517F15">
        <w:tc>
          <w:tcPr>
            <w:tcW w:w="2373" w:type="dxa"/>
            <w:vMerge w:val="restart"/>
            <w:shd w:val="clear" w:color="auto" w:fill="auto"/>
          </w:tcPr>
          <w:p w14:paraId="217EBA59"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Диарея</w:t>
            </w:r>
          </w:p>
        </w:tc>
        <w:tc>
          <w:tcPr>
            <w:tcW w:w="2371" w:type="dxa"/>
            <w:shd w:val="clear" w:color="auto" w:fill="auto"/>
          </w:tcPr>
          <w:p w14:paraId="15BFA40E"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3</w:t>
            </w:r>
          </w:p>
        </w:tc>
        <w:tc>
          <w:tcPr>
            <w:tcW w:w="2314" w:type="dxa"/>
            <w:shd w:val="clear" w:color="auto" w:fill="auto"/>
          </w:tcPr>
          <w:p w14:paraId="740557A4"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0C003561"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степени 0-1</w:t>
            </w:r>
          </w:p>
        </w:tc>
      </w:tr>
      <w:tr w:rsidR="007A5140" w:rsidRPr="005A46FC" w14:paraId="49E30AAE" w14:textId="77777777" w:rsidTr="00517F15">
        <w:tc>
          <w:tcPr>
            <w:tcW w:w="2373" w:type="dxa"/>
            <w:vMerge/>
            <w:shd w:val="clear" w:color="auto" w:fill="auto"/>
          </w:tcPr>
          <w:p w14:paraId="1BF23628"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36146164"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 (несмотря на медицинское вмешательство)</w:t>
            </w:r>
          </w:p>
        </w:tc>
        <w:tc>
          <w:tcPr>
            <w:tcW w:w="2314" w:type="dxa"/>
            <w:shd w:val="clear" w:color="auto" w:fill="auto"/>
          </w:tcPr>
          <w:p w14:paraId="46E91065"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7626CF13"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2341EB" w:rsidRPr="005A46FC" w14:paraId="58F42126" w14:textId="77777777" w:rsidTr="00005A3D">
        <w:tc>
          <w:tcPr>
            <w:tcW w:w="9287" w:type="dxa"/>
            <w:gridSpan w:val="4"/>
            <w:shd w:val="clear" w:color="auto" w:fill="auto"/>
          </w:tcPr>
          <w:p w14:paraId="261D9BF1" w14:textId="77777777" w:rsidR="002341EB"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*Лабораторные отклонения 4-й степени, признанные неопасными для жизни, могут лечиться как тяжелые реакции (например, 3-я степень).</w:t>
            </w:r>
          </w:p>
        </w:tc>
      </w:tr>
    </w:tbl>
    <w:p w14:paraId="28A89C47" w14:textId="77777777" w:rsidR="00023BF0" w:rsidRPr="005A46FC" w:rsidRDefault="00023BF0" w:rsidP="00023BF0">
      <w:pPr>
        <w:spacing w:after="0" w:line="240" w:lineRule="auto"/>
        <w:jc w:val="both"/>
        <w:rPr>
          <w:rFonts w:ascii="Times New Roman" w:eastAsia="Times New Roman" w:hAnsi="Times New Roman"/>
          <w:sz w:val="24"/>
          <w:szCs w:val="24"/>
          <w:lang w:eastAsia="ru-RU"/>
        </w:rPr>
      </w:pPr>
    </w:p>
    <w:p w14:paraId="678011BA" w14:textId="77777777" w:rsidR="009F5A85" w:rsidRPr="005A46FC" w:rsidRDefault="00B21CF0"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Особые группы пациентов</w:t>
      </w:r>
    </w:p>
    <w:p w14:paraId="373506C7" w14:textId="77777777" w:rsidR="007A5140" w:rsidRPr="005A46FC" w:rsidRDefault="007A5140" w:rsidP="0078568D">
      <w:pPr>
        <w:spacing w:after="0" w:line="240" w:lineRule="auto"/>
        <w:jc w:val="both"/>
        <w:rPr>
          <w:rFonts w:ascii="Times New Roman" w:hAnsi="Times New Roman"/>
          <w:i/>
          <w:sz w:val="24"/>
          <w:szCs w:val="24"/>
        </w:rPr>
      </w:pPr>
      <w:r w:rsidRPr="005A46FC">
        <w:rPr>
          <w:rFonts w:ascii="Times New Roman" w:hAnsi="Times New Roman"/>
          <w:i/>
          <w:sz w:val="24"/>
          <w:szCs w:val="24"/>
        </w:rPr>
        <w:t>ДРЩЖ (Диффиренцированный рак щитовидной железы)</w:t>
      </w:r>
    </w:p>
    <w:p w14:paraId="0851E3F4" w14:textId="77777777" w:rsidR="007A5140" w:rsidRPr="005A46FC" w:rsidRDefault="007A5140" w:rsidP="0078568D">
      <w:pPr>
        <w:spacing w:after="0" w:line="240" w:lineRule="auto"/>
        <w:jc w:val="both"/>
        <w:rPr>
          <w:rFonts w:ascii="Times New Roman" w:hAnsi="Times New Roman"/>
          <w:iCs/>
          <w:sz w:val="24"/>
          <w:szCs w:val="24"/>
        </w:rPr>
      </w:pPr>
      <w:r w:rsidRPr="005A46FC">
        <w:rPr>
          <w:rFonts w:ascii="Times New Roman" w:hAnsi="Times New Roman"/>
          <w:iCs/>
          <w:sz w:val="24"/>
          <w:szCs w:val="24"/>
        </w:rPr>
        <w:t>Пациенты в возрасте ≥75 лет, азиаты, с сопутствующими заболеваниями (такими как артериальная гипертензия, печеночная или почечная недостаточность) или с массой тела менее 60 кг, по-видимому, меньше переносят ленватиниб (см. раздел 4.8). Все пациенты, за исключением пациентов с тяжелой печеночной или почечной недостаточностью (см. ниже), должны начинать лечение с рекомендуемой дозы 24 мг, после чего дозу следует корректировать в зависимости от индивидуальной переносимости.</w:t>
      </w:r>
    </w:p>
    <w:p w14:paraId="48A2AB15" w14:textId="77777777" w:rsidR="007A5140" w:rsidRPr="005A46FC" w:rsidRDefault="007A5140" w:rsidP="0078568D">
      <w:pPr>
        <w:spacing w:after="0" w:line="240" w:lineRule="auto"/>
        <w:jc w:val="both"/>
        <w:rPr>
          <w:rFonts w:ascii="Times New Roman" w:hAnsi="Times New Roman"/>
          <w:i/>
          <w:sz w:val="24"/>
          <w:szCs w:val="24"/>
        </w:rPr>
      </w:pPr>
      <w:r w:rsidRPr="005A46FC">
        <w:rPr>
          <w:rFonts w:ascii="Times New Roman" w:hAnsi="Times New Roman"/>
          <w:i/>
          <w:sz w:val="24"/>
          <w:szCs w:val="24"/>
        </w:rPr>
        <w:lastRenderedPageBreak/>
        <w:t>ГЦР (гепатоцеллюлярный рак)</w:t>
      </w:r>
    </w:p>
    <w:p w14:paraId="238A1B40" w14:textId="77777777" w:rsidR="007A5140" w:rsidRPr="005A46FC" w:rsidRDefault="007A5140" w:rsidP="007A5140">
      <w:pPr>
        <w:spacing w:after="0" w:line="240" w:lineRule="auto"/>
        <w:jc w:val="both"/>
        <w:rPr>
          <w:rFonts w:ascii="Times New Roman" w:hAnsi="Times New Roman"/>
          <w:iCs/>
          <w:sz w:val="24"/>
          <w:szCs w:val="24"/>
        </w:rPr>
      </w:pPr>
      <w:r w:rsidRPr="005A46FC">
        <w:rPr>
          <w:rFonts w:ascii="Times New Roman" w:hAnsi="Times New Roman"/>
          <w:iCs/>
          <w:sz w:val="24"/>
          <w:szCs w:val="24"/>
        </w:rPr>
        <w:t>Пациенты старше 75 лет, представители белой расы или женского пола, а также пациенты с тяжелой исходной печеночной недостаточностью (6 баллов по шкале Чайлд-Пью по сравнению с 5 баллами), по-видимому, меньше переносят ленватиниб.</w:t>
      </w:r>
    </w:p>
    <w:p w14:paraId="044418D5" w14:textId="77777777" w:rsidR="007A5140" w:rsidRPr="005A46FC" w:rsidRDefault="007A5140" w:rsidP="007A5140">
      <w:pPr>
        <w:spacing w:after="0" w:line="240" w:lineRule="auto"/>
        <w:jc w:val="both"/>
        <w:rPr>
          <w:rFonts w:ascii="Times New Roman" w:hAnsi="Times New Roman"/>
          <w:iCs/>
          <w:sz w:val="24"/>
          <w:szCs w:val="24"/>
        </w:rPr>
      </w:pPr>
      <w:r w:rsidRPr="005A46FC">
        <w:rPr>
          <w:rFonts w:ascii="Times New Roman" w:hAnsi="Times New Roman"/>
          <w:iCs/>
          <w:sz w:val="24"/>
          <w:szCs w:val="24"/>
        </w:rPr>
        <w:t>Пациенты с ГЦР, за исключением пациентов с умеренной и тяжелой печеночной недостаточностью или тяжелой почечной недостаточностью, должны начинать лечение с рекомендуемой начальной дозы 8 мг (две капсулы по 4 мг) для массы тела &lt; 60 кг и 12 мг (три 4-мг капсулы) для масса тела ≥ 60 кг, после чего следует в дальнейшем корректировать дозу с учетом индивидуальной переносимости.</w:t>
      </w:r>
    </w:p>
    <w:p w14:paraId="437947CB" w14:textId="77777777" w:rsidR="007A5140" w:rsidRPr="005A46FC" w:rsidRDefault="007A5140" w:rsidP="007A5140">
      <w:pPr>
        <w:spacing w:after="0" w:line="240" w:lineRule="auto"/>
        <w:jc w:val="both"/>
        <w:rPr>
          <w:rFonts w:ascii="Times New Roman" w:hAnsi="Times New Roman"/>
          <w:i/>
          <w:sz w:val="24"/>
          <w:szCs w:val="24"/>
          <w:u w:val="single"/>
        </w:rPr>
      </w:pPr>
      <w:r w:rsidRPr="005A46FC">
        <w:rPr>
          <w:rFonts w:ascii="Times New Roman" w:hAnsi="Times New Roman"/>
          <w:i/>
          <w:sz w:val="24"/>
          <w:szCs w:val="24"/>
          <w:u w:val="single"/>
        </w:rPr>
        <w:t>Пациенты с гипертонией</w:t>
      </w:r>
    </w:p>
    <w:p w14:paraId="1EC41B3A" w14:textId="77777777" w:rsidR="007A5140" w:rsidRPr="005A46FC" w:rsidRDefault="007A5140" w:rsidP="007A5140">
      <w:pPr>
        <w:spacing w:after="0" w:line="240" w:lineRule="auto"/>
        <w:jc w:val="both"/>
        <w:rPr>
          <w:rFonts w:ascii="Times New Roman" w:hAnsi="Times New Roman"/>
          <w:iCs/>
          <w:sz w:val="24"/>
          <w:szCs w:val="24"/>
        </w:rPr>
      </w:pPr>
      <w:r w:rsidRPr="005A46FC">
        <w:rPr>
          <w:rFonts w:ascii="Times New Roman" w:hAnsi="Times New Roman"/>
          <w:iCs/>
          <w:sz w:val="24"/>
          <w:szCs w:val="24"/>
        </w:rPr>
        <w:t>Перед началом лечения ленватинибом необходимо тщательно контролировать артериальное давление, а также регулярно контролировать его во время лечения (см. разделы 4.4 и 4.8).</w:t>
      </w:r>
    </w:p>
    <w:p w14:paraId="645549CC" w14:textId="77777777" w:rsidR="007A5140" w:rsidRPr="005A46FC" w:rsidRDefault="007A5140" w:rsidP="007A5140">
      <w:pPr>
        <w:spacing w:after="0" w:line="240" w:lineRule="auto"/>
        <w:jc w:val="both"/>
        <w:rPr>
          <w:rFonts w:ascii="Times New Roman" w:hAnsi="Times New Roman"/>
          <w:i/>
          <w:sz w:val="24"/>
          <w:szCs w:val="24"/>
          <w:u w:val="single"/>
        </w:rPr>
      </w:pPr>
      <w:r w:rsidRPr="005A46FC">
        <w:rPr>
          <w:rFonts w:ascii="Times New Roman" w:hAnsi="Times New Roman"/>
          <w:i/>
          <w:sz w:val="24"/>
          <w:szCs w:val="24"/>
          <w:u w:val="single"/>
        </w:rPr>
        <w:t>Пациенты с печеночной недостаточностью</w:t>
      </w:r>
    </w:p>
    <w:p w14:paraId="36FD0D1F" w14:textId="77777777" w:rsidR="007A5140" w:rsidRPr="005A46FC" w:rsidRDefault="007A5140" w:rsidP="007A5140">
      <w:pPr>
        <w:spacing w:after="0" w:line="240" w:lineRule="auto"/>
        <w:jc w:val="both"/>
        <w:rPr>
          <w:rFonts w:ascii="Times New Roman" w:hAnsi="Times New Roman"/>
          <w:i/>
          <w:sz w:val="24"/>
          <w:szCs w:val="24"/>
        </w:rPr>
      </w:pPr>
      <w:r w:rsidRPr="005A46FC">
        <w:rPr>
          <w:rFonts w:ascii="Times New Roman" w:hAnsi="Times New Roman"/>
          <w:i/>
          <w:sz w:val="24"/>
          <w:szCs w:val="24"/>
        </w:rPr>
        <w:t>Д</w:t>
      </w:r>
      <w:r w:rsidR="00B37C6A" w:rsidRPr="005A46FC">
        <w:rPr>
          <w:rFonts w:ascii="Times New Roman" w:hAnsi="Times New Roman"/>
          <w:i/>
          <w:sz w:val="24"/>
          <w:szCs w:val="24"/>
        </w:rPr>
        <w:t>ифференцированный рак щитовидной железы</w:t>
      </w:r>
    </w:p>
    <w:p w14:paraId="24ED3B53" w14:textId="77777777" w:rsidR="007A5140" w:rsidRPr="005A46FC" w:rsidRDefault="007A5140" w:rsidP="0078568D">
      <w:pPr>
        <w:spacing w:after="0" w:line="240" w:lineRule="auto"/>
        <w:jc w:val="both"/>
        <w:rPr>
          <w:rFonts w:ascii="Times New Roman" w:hAnsi="Times New Roman"/>
          <w:iCs/>
          <w:sz w:val="24"/>
          <w:szCs w:val="24"/>
        </w:rPr>
      </w:pPr>
      <w:r w:rsidRPr="005A46FC">
        <w:rPr>
          <w:rFonts w:ascii="Times New Roman" w:hAnsi="Times New Roman"/>
          <w:iCs/>
          <w:sz w:val="24"/>
          <w:szCs w:val="24"/>
        </w:rPr>
        <w:t>Коррекции начальной дозы в зависимости от функции печени у пациентов с легкой (класс А по Чайлд-Пью) или умеренной (класс В по Чайлд-Пью) степенью не требуется. У пациентов с тяжелой печеночной недостаточностью (класс С по Чайлд-Пью) рекомендуемая начальная доза составляет 14 мг один раз в сутки. В зависимости от индивидуальной переносимости может потребоваться дальнейшая коррекция дозы. См. также раздел 4.8.</w:t>
      </w:r>
    </w:p>
    <w:p w14:paraId="3C09A98F" w14:textId="77777777" w:rsidR="00B37C6A" w:rsidRPr="005A46FC" w:rsidRDefault="00B37C6A" w:rsidP="00B37C6A">
      <w:pPr>
        <w:spacing w:after="0" w:line="240" w:lineRule="auto"/>
        <w:jc w:val="both"/>
        <w:rPr>
          <w:rFonts w:ascii="Times New Roman" w:hAnsi="Times New Roman"/>
          <w:i/>
          <w:sz w:val="24"/>
          <w:szCs w:val="24"/>
        </w:rPr>
      </w:pPr>
      <w:r w:rsidRPr="005A46FC">
        <w:rPr>
          <w:rFonts w:ascii="Times New Roman" w:hAnsi="Times New Roman"/>
          <w:i/>
          <w:sz w:val="24"/>
          <w:szCs w:val="24"/>
        </w:rPr>
        <w:t>Гепатоцеллюлярный рак</w:t>
      </w:r>
    </w:p>
    <w:p w14:paraId="59BA9496" w14:textId="77777777" w:rsidR="00B37C6A" w:rsidRPr="005A46FC" w:rsidRDefault="00B37C6A" w:rsidP="00B37C6A">
      <w:pPr>
        <w:spacing w:after="0" w:line="240" w:lineRule="auto"/>
        <w:jc w:val="both"/>
        <w:rPr>
          <w:rFonts w:ascii="Times New Roman" w:hAnsi="Times New Roman"/>
          <w:iCs/>
          <w:sz w:val="24"/>
          <w:szCs w:val="24"/>
        </w:rPr>
      </w:pPr>
      <w:r w:rsidRPr="005A46FC">
        <w:rPr>
          <w:rFonts w:ascii="Times New Roman" w:hAnsi="Times New Roman"/>
          <w:iCs/>
          <w:sz w:val="24"/>
          <w:szCs w:val="24"/>
        </w:rPr>
        <w:t>В популяции пациентов, включенных в исследование ГЦР, не требовалось корректировки дозы на основании показателей функции печени у пациентов с легкой степенью печеночной недостаточности (класс А по Чайлд-Пью). Имеющиеся ограниченные данные не позволяют дать рекомендации по дозированию для пациентов с ГЦР с умеренной степенью печеночной недостаточности (класс В по Чайлд-Пью). У таких пациентов рекомендуется проводить тщательный мониторинг общей безопасности (см. разделы 4.4 и 5.2). Ленватиниб не изучался у пациентов с тяжелой степенью печеночной недостаточности (класс C по Чайлд-Пью) и, следовательно, не рекомендуется применять препарат у данной группы лиц.</w:t>
      </w:r>
    </w:p>
    <w:p w14:paraId="65E31CD3" w14:textId="77777777" w:rsidR="00B37C6A" w:rsidRPr="005A46FC" w:rsidRDefault="00B37C6A" w:rsidP="00B37C6A">
      <w:pPr>
        <w:spacing w:after="0" w:line="240" w:lineRule="auto"/>
        <w:jc w:val="both"/>
        <w:rPr>
          <w:rFonts w:ascii="Times New Roman" w:hAnsi="Times New Roman"/>
          <w:i/>
          <w:sz w:val="24"/>
          <w:szCs w:val="24"/>
        </w:rPr>
      </w:pPr>
      <w:r w:rsidRPr="005A46FC">
        <w:rPr>
          <w:rFonts w:ascii="Times New Roman" w:hAnsi="Times New Roman"/>
          <w:i/>
          <w:sz w:val="24"/>
          <w:szCs w:val="24"/>
        </w:rPr>
        <w:t>Рак эндометрия</w:t>
      </w:r>
    </w:p>
    <w:p w14:paraId="54D5BECA" w14:textId="77777777" w:rsidR="00B37C6A" w:rsidRPr="005A46FC" w:rsidRDefault="00B37C6A" w:rsidP="00B37C6A">
      <w:pPr>
        <w:spacing w:after="0" w:line="240" w:lineRule="auto"/>
        <w:jc w:val="both"/>
        <w:rPr>
          <w:rFonts w:ascii="Times New Roman" w:hAnsi="Times New Roman"/>
          <w:iCs/>
          <w:sz w:val="24"/>
          <w:szCs w:val="24"/>
        </w:rPr>
      </w:pPr>
      <w:r w:rsidRPr="005A46FC">
        <w:rPr>
          <w:rFonts w:ascii="Times New Roman" w:hAnsi="Times New Roman"/>
          <w:iCs/>
          <w:sz w:val="24"/>
          <w:szCs w:val="24"/>
        </w:rPr>
        <w:t>Имеются ограниченные данные о комбинации ленватиниба с пембролизумабом у пациентов с печеночной недостаточностью. Коррекция начальной дозы комбинации не требуется в зависимости от функции печени у пациентов с нарушением функции печени легкой (класс А по Чайлд-Пью) или средней степени (класс В по Чайлд-Пью). У пациентов с тяжелой печеночной недостаточностью (класс С по Чайлд-Пью) рекомендуемая начальная доза ленватиниба составляет 10 мг один раз в сутки. Касаемо информации по дозированию пембролизумаба у пациентов с печеночной недостаточностью необходимо обратиться к соответствующей инструкции по применению. В зависимости от индивидуальной переносимости может потребоваться дальнейшая коррекция дозы.</w:t>
      </w:r>
    </w:p>
    <w:p w14:paraId="27053A0E" w14:textId="77777777" w:rsidR="00E10FAB" w:rsidRPr="005A46FC" w:rsidRDefault="00E10FAB" w:rsidP="00E10FAB">
      <w:pPr>
        <w:spacing w:after="0" w:line="240" w:lineRule="auto"/>
        <w:jc w:val="both"/>
        <w:rPr>
          <w:rFonts w:ascii="Times New Roman" w:hAnsi="Times New Roman"/>
          <w:i/>
          <w:sz w:val="24"/>
          <w:szCs w:val="24"/>
          <w:u w:val="single"/>
        </w:rPr>
      </w:pPr>
      <w:r w:rsidRPr="005A46FC">
        <w:rPr>
          <w:rFonts w:ascii="Times New Roman" w:hAnsi="Times New Roman"/>
          <w:i/>
          <w:sz w:val="24"/>
          <w:szCs w:val="24"/>
          <w:u w:val="single"/>
        </w:rPr>
        <w:t>Пациенты с почечной недостаточностью</w:t>
      </w:r>
    </w:p>
    <w:p w14:paraId="0E90E96E" w14:textId="77777777" w:rsidR="004E5379" w:rsidRPr="005A46FC" w:rsidRDefault="004E5379" w:rsidP="004E5379">
      <w:pPr>
        <w:spacing w:after="0" w:line="240" w:lineRule="auto"/>
        <w:jc w:val="both"/>
        <w:rPr>
          <w:rFonts w:ascii="Times New Roman" w:hAnsi="Times New Roman"/>
          <w:i/>
          <w:sz w:val="24"/>
          <w:szCs w:val="24"/>
        </w:rPr>
      </w:pPr>
      <w:r w:rsidRPr="005A46FC">
        <w:rPr>
          <w:rFonts w:ascii="Times New Roman" w:hAnsi="Times New Roman"/>
          <w:i/>
          <w:sz w:val="24"/>
          <w:szCs w:val="24"/>
        </w:rPr>
        <w:t>Дифференцированный рак щитовидной железы</w:t>
      </w:r>
    </w:p>
    <w:p w14:paraId="6857D93B" w14:textId="77777777" w:rsidR="00E10FAB" w:rsidRPr="005A46FC" w:rsidRDefault="00E10FAB" w:rsidP="00E10FAB">
      <w:pPr>
        <w:spacing w:after="0" w:line="240" w:lineRule="auto"/>
        <w:jc w:val="both"/>
        <w:rPr>
          <w:rFonts w:ascii="Times New Roman" w:hAnsi="Times New Roman"/>
          <w:iCs/>
          <w:sz w:val="24"/>
          <w:szCs w:val="24"/>
        </w:rPr>
      </w:pPr>
      <w:r w:rsidRPr="005A46FC">
        <w:rPr>
          <w:rFonts w:ascii="Times New Roman" w:hAnsi="Times New Roman"/>
          <w:iCs/>
          <w:sz w:val="24"/>
          <w:szCs w:val="24"/>
        </w:rPr>
        <w:t>Коррекции начальной дозы в зависимости от функции почек у пациентов с легкой или умеренной почечной недостаточностью не требуется. У пациентов с тяжелой почечной недостаточностью рекомендуемая начальная доза составляет 14 мг один раз в сутки. В зависимости от индивидуальной переносимости может потребоваться дальнейшая коррекция дозы. Пациенты с терминальной стадией почечной недостаточности не изучались, поэтому применение ленватиниба у таких пациентов не рекомендуется (см. раздел 4.8).</w:t>
      </w:r>
    </w:p>
    <w:p w14:paraId="0D359616" w14:textId="77777777" w:rsidR="004E5379" w:rsidRPr="005A46FC" w:rsidRDefault="004E5379" w:rsidP="004E5379">
      <w:pPr>
        <w:spacing w:after="0" w:line="240" w:lineRule="auto"/>
        <w:jc w:val="both"/>
        <w:rPr>
          <w:rFonts w:ascii="Times New Roman" w:hAnsi="Times New Roman"/>
          <w:i/>
          <w:sz w:val="24"/>
          <w:szCs w:val="24"/>
        </w:rPr>
      </w:pPr>
      <w:r w:rsidRPr="005A46FC">
        <w:rPr>
          <w:rFonts w:ascii="Times New Roman" w:hAnsi="Times New Roman"/>
          <w:i/>
          <w:sz w:val="24"/>
          <w:szCs w:val="24"/>
        </w:rPr>
        <w:t>Гепатоцеллюлярный рак</w:t>
      </w:r>
    </w:p>
    <w:p w14:paraId="5BCB81D0" w14:textId="77777777" w:rsidR="00E10FAB" w:rsidRPr="005A46FC" w:rsidRDefault="00E10FAB" w:rsidP="00E10FAB">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Коррекции дозы в зависимости от функции почек у пациентов с легкой или умеренной почечной недостаточностью не требуется. Имеющиеся данные не позволяют рекомендовать дозировку для пациентов с ГЦР и тяжелой почечной недостаточностью.</w:t>
      </w:r>
    </w:p>
    <w:p w14:paraId="293FEEC4" w14:textId="77777777" w:rsidR="00E10FAB" w:rsidRPr="005A46FC" w:rsidRDefault="004E5379" w:rsidP="00E10FAB">
      <w:pPr>
        <w:spacing w:after="0" w:line="240" w:lineRule="auto"/>
        <w:jc w:val="both"/>
        <w:rPr>
          <w:rFonts w:ascii="Times New Roman" w:hAnsi="Times New Roman"/>
          <w:i/>
          <w:sz w:val="24"/>
          <w:szCs w:val="24"/>
        </w:rPr>
      </w:pPr>
      <w:r w:rsidRPr="005A46FC">
        <w:rPr>
          <w:rFonts w:ascii="Times New Roman" w:hAnsi="Times New Roman"/>
          <w:i/>
          <w:sz w:val="24"/>
          <w:szCs w:val="24"/>
        </w:rPr>
        <w:t>Рак эндометрия</w:t>
      </w:r>
    </w:p>
    <w:p w14:paraId="14B7A5C1" w14:textId="77777777" w:rsidR="007A5140" w:rsidRPr="005A46FC" w:rsidRDefault="00E10FAB" w:rsidP="0078568D">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Коррекции начальной дозы в зависимости от функции почек у пациентов с легкой или умеренной почечной недостаточностью не требуется. У пациентов с тяжелой почечной недостаточностью рекомендуемая начальная доза составляет 10 мг ленватиниба один раз в сутки. </w:t>
      </w:r>
      <w:r w:rsidR="004E5379" w:rsidRPr="005A46FC">
        <w:rPr>
          <w:rFonts w:ascii="Times New Roman" w:hAnsi="Times New Roman"/>
          <w:iCs/>
          <w:sz w:val="24"/>
          <w:szCs w:val="24"/>
        </w:rPr>
        <w:t>Касаемо режима дозирования для пациентов с почечной недостаточностью рекомендуется</w:t>
      </w:r>
      <w:r w:rsidRPr="005A46FC">
        <w:rPr>
          <w:rFonts w:ascii="Times New Roman" w:hAnsi="Times New Roman"/>
          <w:iCs/>
          <w:sz w:val="24"/>
          <w:szCs w:val="24"/>
        </w:rPr>
        <w:t xml:space="preserve"> обратит</w:t>
      </w:r>
      <w:r w:rsidR="004E5379" w:rsidRPr="005A46FC">
        <w:rPr>
          <w:rFonts w:ascii="Times New Roman" w:hAnsi="Times New Roman"/>
          <w:iCs/>
          <w:sz w:val="24"/>
          <w:szCs w:val="24"/>
        </w:rPr>
        <w:t>ься</w:t>
      </w:r>
      <w:r w:rsidRPr="005A46FC">
        <w:rPr>
          <w:rFonts w:ascii="Times New Roman" w:hAnsi="Times New Roman"/>
          <w:iCs/>
          <w:sz w:val="24"/>
          <w:szCs w:val="24"/>
        </w:rPr>
        <w:t xml:space="preserve"> к </w:t>
      </w:r>
      <w:r w:rsidR="004E5379" w:rsidRPr="005A46FC">
        <w:rPr>
          <w:rFonts w:ascii="Times New Roman" w:hAnsi="Times New Roman"/>
          <w:iCs/>
          <w:sz w:val="24"/>
          <w:szCs w:val="24"/>
        </w:rPr>
        <w:t>и</w:t>
      </w:r>
      <w:r w:rsidRPr="005A46FC">
        <w:rPr>
          <w:rFonts w:ascii="Times New Roman" w:hAnsi="Times New Roman"/>
          <w:iCs/>
          <w:sz w:val="24"/>
          <w:szCs w:val="24"/>
        </w:rPr>
        <w:t xml:space="preserve">нструкции по </w:t>
      </w:r>
      <w:r w:rsidR="004E5379" w:rsidRPr="005A46FC">
        <w:rPr>
          <w:rFonts w:ascii="Times New Roman" w:hAnsi="Times New Roman"/>
          <w:iCs/>
          <w:sz w:val="24"/>
          <w:szCs w:val="24"/>
        </w:rPr>
        <w:t xml:space="preserve">медицинскому применению </w:t>
      </w:r>
      <w:r w:rsidRPr="005A46FC">
        <w:rPr>
          <w:rFonts w:ascii="Times New Roman" w:hAnsi="Times New Roman"/>
          <w:iCs/>
          <w:sz w:val="24"/>
          <w:szCs w:val="24"/>
        </w:rPr>
        <w:t>пембролизумаба. В зависимости от индивидуальной переносимости может потребоваться дальнейшая коррекция дозы. Пациенты с терминальной стадией почечной недостаточности не изучались, поэтому применение ленватиниба у таких пациентов не рекомендуется.</w:t>
      </w:r>
    </w:p>
    <w:p w14:paraId="645E9AB4" w14:textId="77777777" w:rsidR="004E5379" w:rsidRPr="005A46FC" w:rsidRDefault="004E5379" w:rsidP="0078568D">
      <w:pPr>
        <w:spacing w:after="0" w:line="240" w:lineRule="auto"/>
        <w:jc w:val="both"/>
        <w:rPr>
          <w:rFonts w:ascii="Times New Roman" w:hAnsi="Times New Roman"/>
          <w:i/>
          <w:sz w:val="24"/>
          <w:szCs w:val="24"/>
          <w:u w:val="single"/>
        </w:rPr>
      </w:pPr>
      <w:r w:rsidRPr="005A46FC">
        <w:rPr>
          <w:rFonts w:ascii="Times New Roman" w:hAnsi="Times New Roman"/>
          <w:i/>
          <w:sz w:val="24"/>
          <w:szCs w:val="24"/>
          <w:u w:val="single"/>
        </w:rPr>
        <w:t>Пациенты пожилого возраста</w:t>
      </w:r>
    </w:p>
    <w:p w14:paraId="1C61D112" w14:textId="77777777" w:rsidR="004E5379" w:rsidRPr="005A46FC" w:rsidRDefault="004E5379" w:rsidP="0078568D">
      <w:pPr>
        <w:spacing w:after="0" w:line="240" w:lineRule="auto"/>
        <w:jc w:val="both"/>
        <w:rPr>
          <w:rFonts w:ascii="Times New Roman" w:hAnsi="Times New Roman"/>
          <w:iCs/>
          <w:sz w:val="24"/>
          <w:szCs w:val="24"/>
        </w:rPr>
      </w:pPr>
      <w:r w:rsidRPr="005A46FC">
        <w:rPr>
          <w:rFonts w:ascii="Times New Roman" w:hAnsi="Times New Roman"/>
          <w:iCs/>
          <w:sz w:val="24"/>
          <w:szCs w:val="24"/>
        </w:rPr>
        <w:t>Коррекции начальной дозы в зависимости от возраста не требуется. Имеются ограниченные данные о применении у пациентов в возрасте ≥75 лет (см. раздел 4.8).</w:t>
      </w:r>
    </w:p>
    <w:p w14:paraId="6F9E65AB" w14:textId="77777777" w:rsidR="004E5379" w:rsidRPr="005A46FC" w:rsidRDefault="004E5379" w:rsidP="004E5379">
      <w:pPr>
        <w:spacing w:after="0" w:line="240" w:lineRule="auto"/>
        <w:jc w:val="both"/>
        <w:rPr>
          <w:rFonts w:ascii="Times New Roman" w:hAnsi="Times New Roman"/>
          <w:i/>
          <w:sz w:val="24"/>
          <w:szCs w:val="24"/>
          <w:u w:val="single"/>
        </w:rPr>
      </w:pPr>
      <w:r w:rsidRPr="005A46FC">
        <w:rPr>
          <w:rFonts w:ascii="Times New Roman" w:hAnsi="Times New Roman"/>
          <w:i/>
          <w:sz w:val="24"/>
          <w:szCs w:val="24"/>
          <w:u w:val="single"/>
        </w:rPr>
        <w:t>Дети</w:t>
      </w:r>
    </w:p>
    <w:p w14:paraId="2AAF51ED" w14:textId="77777777" w:rsidR="004E5379" w:rsidRPr="005A46FC" w:rsidRDefault="004E5379" w:rsidP="004E5379">
      <w:pPr>
        <w:spacing w:after="0" w:line="240" w:lineRule="auto"/>
        <w:jc w:val="both"/>
        <w:rPr>
          <w:rFonts w:ascii="Times New Roman" w:hAnsi="Times New Roman"/>
          <w:iCs/>
          <w:sz w:val="24"/>
          <w:szCs w:val="24"/>
        </w:rPr>
      </w:pPr>
      <w:r w:rsidRPr="005A46FC">
        <w:rPr>
          <w:rFonts w:ascii="Times New Roman" w:hAnsi="Times New Roman"/>
          <w:iCs/>
          <w:sz w:val="24"/>
          <w:szCs w:val="24"/>
        </w:rPr>
        <w:t>Ленватиниб не следует применять у детей младше 2 лет из-за проблем безопасности, выявленных в исследованиях на животных (см. раздел 5.3). Безопасность и эффективность ленватиниба у детей в возрасте от 2 до 18 лет еще не установлены (см. раздел 5.1). Данных не имеется.</w:t>
      </w:r>
    </w:p>
    <w:p w14:paraId="22E6ADDE" w14:textId="77777777" w:rsidR="004E5379" w:rsidRPr="005A46FC" w:rsidRDefault="004E5379" w:rsidP="004E5379">
      <w:pPr>
        <w:spacing w:after="0" w:line="240" w:lineRule="auto"/>
        <w:jc w:val="both"/>
        <w:rPr>
          <w:rFonts w:ascii="Times New Roman" w:hAnsi="Times New Roman"/>
          <w:i/>
          <w:sz w:val="24"/>
          <w:szCs w:val="24"/>
          <w:u w:val="single"/>
        </w:rPr>
      </w:pPr>
      <w:r w:rsidRPr="005A46FC">
        <w:rPr>
          <w:rFonts w:ascii="Times New Roman" w:hAnsi="Times New Roman"/>
          <w:i/>
          <w:sz w:val="24"/>
          <w:szCs w:val="24"/>
          <w:u w:val="single"/>
        </w:rPr>
        <w:t>Раса</w:t>
      </w:r>
    </w:p>
    <w:p w14:paraId="06A8DD0B" w14:textId="77777777" w:rsidR="004E5379" w:rsidRPr="005A46FC" w:rsidRDefault="004E5379" w:rsidP="0078568D">
      <w:pPr>
        <w:spacing w:after="0" w:line="240" w:lineRule="auto"/>
        <w:jc w:val="both"/>
        <w:rPr>
          <w:rFonts w:ascii="Times New Roman" w:hAnsi="Times New Roman"/>
          <w:iCs/>
          <w:sz w:val="24"/>
          <w:szCs w:val="24"/>
        </w:rPr>
      </w:pPr>
      <w:r w:rsidRPr="005A46FC">
        <w:rPr>
          <w:rFonts w:ascii="Times New Roman" w:hAnsi="Times New Roman"/>
          <w:iCs/>
          <w:sz w:val="24"/>
          <w:szCs w:val="24"/>
        </w:rPr>
        <w:t>Коррекции начальной дозы в зависимости от расы не требуется (см. раздел 5.2). Имеются ограниченные данные о применении у пациентов этнического происхождения, кроме европеоидов или азиатов (см. раздел 4.8).</w:t>
      </w:r>
    </w:p>
    <w:p w14:paraId="173495BD" w14:textId="77777777" w:rsidR="009F5A85" w:rsidRPr="005A46FC" w:rsidRDefault="009F5A85" w:rsidP="0078568D">
      <w:pPr>
        <w:spacing w:after="0" w:line="240" w:lineRule="auto"/>
        <w:jc w:val="both"/>
        <w:rPr>
          <w:rFonts w:ascii="Times New Roman" w:hAnsi="Times New Roman"/>
          <w:b/>
          <w:sz w:val="24"/>
          <w:szCs w:val="24"/>
        </w:rPr>
      </w:pPr>
      <w:r w:rsidRPr="005A46FC">
        <w:rPr>
          <w:rFonts w:ascii="Times New Roman" w:hAnsi="Times New Roman"/>
          <w:b/>
          <w:sz w:val="24"/>
          <w:szCs w:val="24"/>
          <w:lang w:bidi="ru-RU"/>
        </w:rPr>
        <w:t xml:space="preserve">Способ применения </w:t>
      </w:r>
    </w:p>
    <w:p w14:paraId="5761239D" w14:textId="77777777" w:rsidR="004E5379" w:rsidRPr="005A46FC" w:rsidRDefault="004E5379" w:rsidP="004E5379">
      <w:pPr>
        <w:spacing w:after="0" w:line="240" w:lineRule="auto"/>
        <w:jc w:val="both"/>
        <w:rPr>
          <w:rFonts w:ascii="Times New Roman" w:hAnsi="Times New Roman"/>
          <w:sz w:val="24"/>
          <w:szCs w:val="24"/>
        </w:rPr>
      </w:pPr>
      <w:r w:rsidRPr="005A46FC">
        <w:rPr>
          <w:rFonts w:ascii="Times New Roman" w:hAnsi="Times New Roman"/>
          <w:sz w:val="24"/>
          <w:szCs w:val="24"/>
        </w:rPr>
        <w:t xml:space="preserve">Ленватиниб предназначен для перорального применения. Капсулы следует принимать примерно в одно и то же время каждый день независимо от приема пищи (см. раздел 5.2). Лица, осуществляющие уход, не должны </w:t>
      </w:r>
      <w:r w:rsidR="006C00BF" w:rsidRPr="005A46FC">
        <w:rPr>
          <w:rFonts w:ascii="Times New Roman" w:hAnsi="Times New Roman"/>
          <w:sz w:val="24"/>
          <w:szCs w:val="24"/>
        </w:rPr>
        <w:t>вскрывать</w:t>
      </w:r>
      <w:r w:rsidRPr="005A46FC">
        <w:rPr>
          <w:rFonts w:ascii="Times New Roman" w:hAnsi="Times New Roman"/>
          <w:sz w:val="24"/>
          <w:szCs w:val="24"/>
        </w:rPr>
        <w:t xml:space="preserve"> капсулу во избежание контакта с содержимым.</w:t>
      </w:r>
    </w:p>
    <w:p w14:paraId="44A02177" w14:textId="77777777" w:rsidR="004E5379" w:rsidRPr="005A46FC" w:rsidRDefault="004E5379" w:rsidP="004E5379">
      <w:pPr>
        <w:spacing w:after="0" w:line="240" w:lineRule="auto"/>
        <w:jc w:val="both"/>
        <w:rPr>
          <w:rFonts w:ascii="Times New Roman" w:hAnsi="Times New Roman"/>
          <w:sz w:val="24"/>
          <w:szCs w:val="24"/>
        </w:rPr>
      </w:pPr>
      <w:r w:rsidRPr="005A46FC">
        <w:rPr>
          <w:rFonts w:ascii="Times New Roman" w:hAnsi="Times New Roman"/>
          <w:sz w:val="24"/>
          <w:szCs w:val="24"/>
        </w:rPr>
        <w:t>Капсулы ленватиниба можно проглатывать целиком, запивая водой, или вводить в виде суспензии, приготовленной путем растворения целой капсулы (капсул) в воде, яблочном соке или молоке. Суспензию можно вводить перорально или через зонд для кормления. При введении через зонд для кормления суспензию следует готовить с использованием воды (информацию о приготовлении и введении суспензии см.</w:t>
      </w:r>
      <w:r w:rsidR="006C00BF" w:rsidRPr="005A46FC">
        <w:rPr>
          <w:rFonts w:ascii="Times New Roman" w:hAnsi="Times New Roman"/>
          <w:sz w:val="24"/>
          <w:szCs w:val="24"/>
        </w:rPr>
        <w:t xml:space="preserve"> ниже</w:t>
      </w:r>
      <w:r w:rsidRPr="005A46FC">
        <w:rPr>
          <w:rFonts w:ascii="Times New Roman" w:hAnsi="Times New Roman"/>
          <w:sz w:val="24"/>
          <w:szCs w:val="24"/>
        </w:rPr>
        <w:t>).</w:t>
      </w:r>
    </w:p>
    <w:p w14:paraId="4E30AD7E" w14:textId="77777777" w:rsidR="004E5379" w:rsidRPr="005A46FC" w:rsidRDefault="004E5379" w:rsidP="004E5379">
      <w:pPr>
        <w:spacing w:after="0" w:line="240" w:lineRule="auto"/>
        <w:jc w:val="both"/>
        <w:rPr>
          <w:rFonts w:ascii="Times New Roman" w:hAnsi="Times New Roman"/>
          <w:sz w:val="24"/>
          <w:szCs w:val="24"/>
        </w:rPr>
      </w:pPr>
      <w:r w:rsidRPr="005A46FC">
        <w:rPr>
          <w:rFonts w:ascii="Times New Roman" w:hAnsi="Times New Roman"/>
          <w:sz w:val="24"/>
          <w:szCs w:val="24"/>
        </w:rPr>
        <w:t>Если суспензия ленватиниба не используется во время приготовления, ее можно хранить в закрытом контейнере в холодильнике при температуре от 2°C до 8°C не более 24 часов. После извлечения из холодильника суспензию следует встряхивать в течение примерно 30 секунд перед использованием. Если</w:t>
      </w:r>
      <w:r w:rsidR="006C00BF" w:rsidRPr="005A46FC">
        <w:rPr>
          <w:rFonts w:ascii="Times New Roman" w:hAnsi="Times New Roman"/>
          <w:sz w:val="24"/>
          <w:szCs w:val="24"/>
        </w:rPr>
        <w:t xml:space="preserve"> суспензия не использовалась</w:t>
      </w:r>
      <w:r w:rsidRPr="005A46FC">
        <w:rPr>
          <w:rFonts w:ascii="Times New Roman" w:hAnsi="Times New Roman"/>
          <w:sz w:val="24"/>
          <w:szCs w:val="24"/>
        </w:rPr>
        <w:t xml:space="preserve"> </w:t>
      </w:r>
      <w:r w:rsidR="006C00BF" w:rsidRPr="005A46FC">
        <w:rPr>
          <w:rFonts w:ascii="Times New Roman" w:hAnsi="Times New Roman"/>
          <w:sz w:val="24"/>
          <w:szCs w:val="24"/>
        </w:rPr>
        <w:t xml:space="preserve">в </w:t>
      </w:r>
      <w:r w:rsidRPr="005A46FC">
        <w:rPr>
          <w:rFonts w:ascii="Times New Roman" w:hAnsi="Times New Roman"/>
          <w:sz w:val="24"/>
          <w:szCs w:val="24"/>
        </w:rPr>
        <w:t xml:space="preserve">течение 24 часов, </w:t>
      </w:r>
      <w:r w:rsidR="006C00BF" w:rsidRPr="005A46FC">
        <w:rPr>
          <w:rFonts w:ascii="Times New Roman" w:hAnsi="Times New Roman"/>
          <w:sz w:val="24"/>
          <w:szCs w:val="24"/>
        </w:rPr>
        <w:t>ее</w:t>
      </w:r>
      <w:r w:rsidRPr="005A46FC">
        <w:rPr>
          <w:rFonts w:ascii="Times New Roman" w:hAnsi="Times New Roman"/>
          <w:sz w:val="24"/>
          <w:szCs w:val="24"/>
        </w:rPr>
        <w:t xml:space="preserve"> </w:t>
      </w:r>
      <w:r w:rsidR="006C00BF" w:rsidRPr="005A46FC">
        <w:rPr>
          <w:rFonts w:ascii="Times New Roman" w:hAnsi="Times New Roman"/>
          <w:sz w:val="24"/>
          <w:szCs w:val="24"/>
        </w:rPr>
        <w:t>следует</w:t>
      </w:r>
      <w:r w:rsidRPr="005A46FC">
        <w:rPr>
          <w:rFonts w:ascii="Times New Roman" w:hAnsi="Times New Roman"/>
          <w:sz w:val="24"/>
          <w:szCs w:val="24"/>
        </w:rPr>
        <w:t xml:space="preserve"> утилизирова</w:t>
      </w:r>
      <w:r w:rsidR="006C00BF" w:rsidRPr="005A46FC">
        <w:rPr>
          <w:rFonts w:ascii="Times New Roman" w:hAnsi="Times New Roman"/>
          <w:sz w:val="24"/>
          <w:szCs w:val="24"/>
        </w:rPr>
        <w:t>ть</w:t>
      </w:r>
      <w:r w:rsidRPr="005A46FC">
        <w:rPr>
          <w:rFonts w:ascii="Times New Roman" w:hAnsi="Times New Roman"/>
          <w:sz w:val="24"/>
          <w:szCs w:val="24"/>
        </w:rPr>
        <w:t>.</w:t>
      </w:r>
    </w:p>
    <w:p w14:paraId="3C7C9DC1" w14:textId="77777777" w:rsidR="00F42D3C" w:rsidRPr="005A46FC" w:rsidRDefault="004E5379" w:rsidP="004E5379">
      <w:pPr>
        <w:spacing w:after="0" w:line="240" w:lineRule="auto"/>
        <w:jc w:val="both"/>
        <w:rPr>
          <w:rFonts w:ascii="Times New Roman" w:eastAsia="Microsoft Sans Serif" w:hAnsi="Times New Roman"/>
          <w:sz w:val="24"/>
          <w:szCs w:val="24"/>
          <w:lang w:bidi="ru-RU"/>
        </w:rPr>
      </w:pPr>
      <w:r w:rsidRPr="005A46FC">
        <w:rPr>
          <w:rFonts w:ascii="Times New Roman" w:hAnsi="Times New Roman"/>
          <w:sz w:val="24"/>
          <w:szCs w:val="24"/>
        </w:rPr>
        <w:t xml:space="preserve">Для использования в комбинации с пембролизумабом </w:t>
      </w:r>
      <w:r w:rsidR="006C00BF" w:rsidRPr="005A46FC">
        <w:rPr>
          <w:rFonts w:ascii="Times New Roman" w:hAnsi="Times New Roman"/>
          <w:sz w:val="24"/>
          <w:szCs w:val="24"/>
        </w:rPr>
        <w:t>необходимо обратиться</w:t>
      </w:r>
      <w:r w:rsidRPr="005A46FC">
        <w:rPr>
          <w:rFonts w:ascii="Times New Roman" w:hAnsi="Times New Roman"/>
          <w:sz w:val="24"/>
          <w:szCs w:val="24"/>
        </w:rPr>
        <w:t xml:space="preserve"> к </w:t>
      </w:r>
      <w:r w:rsidR="006C00BF" w:rsidRPr="005A46FC">
        <w:rPr>
          <w:rFonts w:ascii="Times New Roman" w:hAnsi="Times New Roman"/>
          <w:sz w:val="24"/>
          <w:szCs w:val="24"/>
        </w:rPr>
        <w:t>соответствующей и</w:t>
      </w:r>
      <w:r w:rsidRPr="005A46FC">
        <w:rPr>
          <w:rFonts w:ascii="Times New Roman" w:hAnsi="Times New Roman"/>
          <w:sz w:val="24"/>
          <w:szCs w:val="24"/>
        </w:rPr>
        <w:t xml:space="preserve">нструкции по </w:t>
      </w:r>
      <w:r w:rsidR="006C00BF" w:rsidRPr="005A46FC">
        <w:rPr>
          <w:rFonts w:ascii="Times New Roman" w:hAnsi="Times New Roman"/>
          <w:sz w:val="24"/>
          <w:szCs w:val="24"/>
        </w:rPr>
        <w:t xml:space="preserve">медицинскому </w:t>
      </w:r>
      <w:r w:rsidRPr="005A46FC">
        <w:rPr>
          <w:rFonts w:ascii="Times New Roman" w:hAnsi="Times New Roman"/>
          <w:sz w:val="24"/>
          <w:szCs w:val="24"/>
        </w:rPr>
        <w:t>применению.</w:t>
      </w:r>
    </w:p>
    <w:p w14:paraId="13BCCCEF" w14:textId="77777777" w:rsidR="0078568D" w:rsidRPr="005A46FC" w:rsidRDefault="002B2AF8" w:rsidP="0078568D">
      <w:pPr>
        <w:spacing w:after="0" w:line="240" w:lineRule="auto"/>
        <w:jc w:val="both"/>
        <w:rPr>
          <w:rFonts w:ascii="Times New Roman" w:eastAsia="Times New Roman" w:hAnsi="Times New Roman"/>
          <w:bCs/>
          <w:sz w:val="24"/>
          <w:szCs w:val="24"/>
          <w:u w:val="single"/>
          <w:lang w:eastAsia="ru-RU"/>
        </w:rPr>
      </w:pPr>
      <w:r w:rsidRPr="005A46FC">
        <w:rPr>
          <w:rFonts w:ascii="Times New Roman" w:eastAsia="Times New Roman" w:hAnsi="Times New Roman"/>
          <w:bCs/>
          <w:sz w:val="24"/>
          <w:szCs w:val="24"/>
          <w:u w:val="single"/>
          <w:lang w:eastAsia="ru-RU"/>
        </w:rPr>
        <w:t>Приготовление суспензии</w:t>
      </w:r>
    </w:p>
    <w:p w14:paraId="4D0E9BCE" w14:textId="77777777" w:rsidR="002B2AF8" w:rsidRPr="005A46FC" w:rsidRDefault="002B2AF8" w:rsidP="002B2AF8">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Суспензия может быть приготовлена с использованием воды, яблочного сока или молока. При введении через зонд для кормления суспензию следует готовить с использованием воды.</w:t>
      </w:r>
    </w:p>
    <w:p w14:paraId="447C0367" w14:textId="77777777" w:rsidR="002B2AF8" w:rsidRPr="005A46FC" w:rsidRDefault="002B2AF8" w:rsidP="002B2AF8">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Поместите капсулу (капсулы), соответствующую предписанной дозе (до 5 капсул), в небольшой контейнер (вместимостью примерно 20 мл (4 чайные ложки)) или шприц для перорального введения препарата (20 мл); не разламывайте и не раздавливайте капсулы.</w:t>
      </w:r>
    </w:p>
    <w:p w14:paraId="649B70E4" w14:textId="77777777" w:rsidR="002B2AF8" w:rsidRPr="005A46FC" w:rsidRDefault="002B2AF8" w:rsidP="002B2AF8">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xml:space="preserve">• Добавьте 3 мл жидкости в контейнер или шприц для перорального применения. Подождите 10 минут пока оболочка капсулы (внешняя поверхность) не растворится, </w:t>
      </w:r>
      <w:r w:rsidRPr="005A46FC">
        <w:rPr>
          <w:rFonts w:ascii="Times New Roman" w:eastAsia="Times New Roman" w:hAnsi="Times New Roman"/>
          <w:bCs/>
          <w:sz w:val="24"/>
          <w:szCs w:val="24"/>
          <w:lang w:eastAsia="ru-RU"/>
        </w:rPr>
        <w:lastRenderedPageBreak/>
        <w:t>затем перемешайте или встряхивайте смесь в течение 3 минут, пока содержимое полностью не растворится.</w:t>
      </w:r>
    </w:p>
    <w:p w14:paraId="3A46B8F0" w14:textId="77777777" w:rsidR="002B2AF8" w:rsidRPr="005A46FC" w:rsidRDefault="002B2AF8" w:rsidP="002B2AF8">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При использовании шприца закройте его крышкой, снимите поршень и используйте второй шприц или откалиброванную пипетку, чтобы добавить жидкость в первый шприц, затем замените поршень перед смешиванием.</w:t>
      </w:r>
    </w:p>
    <w:p w14:paraId="4631AE6C" w14:textId="77777777" w:rsidR="002B2AF8" w:rsidRPr="005A46FC" w:rsidRDefault="002B2AF8" w:rsidP="002B2AF8">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Введите все содержимое контейнера или шприца. Суспензию можно вводить из контейнера непосредственно в рот или из шприца непосредственно в рот или через зонд для кормления.</w:t>
      </w:r>
    </w:p>
    <w:p w14:paraId="7AFD39E6" w14:textId="77777777" w:rsidR="002B2AF8" w:rsidRPr="005A46FC" w:rsidRDefault="002B2AF8" w:rsidP="002B2AF8">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Затем добавьте еще 2 мл жидкости в контейнер или шприц, используя второй шприц или пипетку, взболтайте или встряхните и введите. Повторите этот шаг как минимум дважды и до тех пор, пока не останется видимого остатка, чтобы убедиться, что все лекарство было принято.</w:t>
      </w:r>
    </w:p>
    <w:p w14:paraId="5FA3367F" w14:textId="77777777" w:rsidR="002B2AF8" w:rsidRPr="005A46FC" w:rsidRDefault="002B2AF8" w:rsidP="0078568D">
      <w:pPr>
        <w:spacing w:after="0" w:line="240" w:lineRule="auto"/>
        <w:jc w:val="both"/>
        <w:rPr>
          <w:rFonts w:ascii="Times New Roman" w:eastAsia="Times New Roman" w:hAnsi="Times New Roman"/>
          <w:b/>
          <w:sz w:val="24"/>
          <w:szCs w:val="24"/>
          <w:lang w:eastAsia="ru-RU"/>
        </w:rPr>
      </w:pPr>
    </w:p>
    <w:p w14:paraId="136E8F6A" w14:textId="77777777" w:rsidR="007D0E84" w:rsidRPr="005A46FC" w:rsidRDefault="00DB406A"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4.</w:t>
      </w:r>
      <w:r w:rsidR="00566737" w:rsidRPr="005A46FC">
        <w:rPr>
          <w:rFonts w:ascii="Times New Roman" w:eastAsia="Times New Roman" w:hAnsi="Times New Roman"/>
          <w:b/>
          <w:sz w:val="24"/>
          <w:szCs w:val="24"/>
          <w:lang w:eastAsia="ru-RU"/>
        </w:rPr>
        <w:t>3</w:t>
      </w:r>
      <w:r w:rsidRPr="005A46FC">
        <w:rPr>
          <w:rFonts w:ascii="Times New Roman" w:eastAsia="Times New Roman" w:hAnsi="Times New Roman"/>
          <w:b/>
          <w:sz w:val="24"/>
          <w:szCs w:val="24"/>
          <w:lang w:eastAsia="ru-RU"/>
        </w:rPr>
        <w:t xml:space="preserve"> </w:t>
      </w:r>
      <w:r w:rsidR="007D0E84" w:rsidRPr="005A46FC">
        <w:rPr>
          <w:rFonts w:ascii="Times New Roman" w:eastAsia="Times New Roman" w:hAnsi="Times New Roman"/>
          <w:b/>
          <w:sz w:val="24"/>
          <w:szCs w:val="24"/>
          <w:lang w:eastAsia="ru-RU"/>
        </w:rPr>
        <w:t>Противопоказания</w:t>
      </w:r>
    </w:p>
    <w:p w14:paraId="138090DB" w14:textId="77777777" w:rsidR="00A300B9" w:rsidRPr="005A46FC" w:rsidRDefault="005D66F3" w:rsidP="0078568D">
      <w:pPr>
        <w:tabs>
          <w:tab w:val="left" w:pos="8931"/>
        </w:tabs>
        <w:spacing w:after="0" w:line="240" w:lineRule="auto"/>
        <w:jc w:val="both"/>
        <w:rPr>
          <w:rFonts w:ascii="Times New Roman" w:hAnsi="Times New Roman"/>
          <w:sz w:val="24"/>
          <w:szCs w:val="24"/>
        </w:rPr>
      </w:pPr>
      <w:r w:rsidRPr="005A46FC">
        <w:rPr>
          <w:rFonts w:ascii="Times New Roman" w:hAnsi="Times New Roman"/>
          <w:sz w:val="24"/>
          <w:szCs w:val="24"/>
        </w:rPr>
        <w:t>- г</w:t>
      </w:r>
      <w:r w:rsidR="00A300B9" w:rsidRPr="005A46FC">
        <w:rPr>
          <w:rFonts w:ascii="Times New Roman" w:hAnsi="Times New Roman"/>
          <w:sz w:val="24"/>
          <w:szCs w:val="24"/>
        </w:rPr>
        <w:t>иперчувствительность к действующему веществу или к любому из вспомогательных веществ, перечисленных в разделе 6.1</w:t>
      </w:r>
    </w:p>
    <w:p w14:paraId="4641CFA4" w14:textId="77777777" w:rsidR="007D0E84" w:rsidRPr="005A46FC" w:rsidRDefault="005D66F3" w:rsidP="00F33B4F">
      <w:pPr>
        <w:tabs>
          <w:tab w:val="left" w:pos="8931"/>
        </w:tabs>
        <w:spacing w:after="0" w:line="240" w:lineRule="auto"/>
        <w:jc w:val="both"/>
        <w:rPr>
          <w:rFonts w:ascii="Times New Roman" w:hAnsi="Times New Roman"/>
          <w:sz w:val="24"/>
          <w:szCs w:val="24"/>
        </w:rPr>
      </w:pPr>
      <w:r w:rsidRPr="005A46FC">
        <w:rPr>
          <w:rFonts w:ascii="Times New Roman" w:hAnsi="Times New Roman"/>
          <w:sz w:val="24"/>
          <w:szCs w:val="24"/>
        </w:rPr>
        <w:t xml:space="preserve">- </w:t>
      </w:r>
      <w:r w:rsidR="00F33B4F" w:rsidRPr="005A46FC">
        <w:rPr>
          <w:rFonts w:ascii="Times New Roman" w:hAnsi="Times New Roman"/>
          <w:sz w:val="24"/>
          <w:szCs w:val="24"/>
        </w:rPr>
        <w:t>период лактации (см. раздел 4.6)</w:t>
      </w:r>
    </w:p>
    <w:p w14:paraId="65C79540" w14:textId="77777777" w:rsidR="007D0E84" w:rsidRPr="005A46FC" w:rsidRDefault="007D0E84" w:rsidP="0078568D">
      <w:pPr>
        <w:autoSpaceDE w:val="0"/>
        <w:autoSpaceDN w:val="0"/>
        <w:spacing w:after="0" w:line="240" w:lineRule="auto"/>
        <w:jc w:val="both"/>
        <w:rPr>
          <w:rFonts w:ascii="Times New Roman" w:eastAsia="Times New Roman" w:hAnsi="Times New Roman"/>
          <w:sz w:val="24"/>
          <w:szCs w:val="24"/>
          <w:lang w:eastAsia="ru-RU"/>
        </w:rPr>
      </w:pPr>
    </w:p>
    <w:p w14:paraId="34B5ADD0" w14:textId="77777777" w:rsidR="00B10089" w:rsidRPr="005A46FC" w:rsidRDefault="00DB406A"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4.</w:t>
      </w:r>
      <w:r w:rsidR="009F72B0" w:rsidRPr="005A46FC">
        <w:rPr>
          <w:rFonts w:ascii="Times New Roman" w:eastAsia="Times New Roman" w:hAnsi="Times New Roman"/>
          <w:b/>
          <w:sz w:val="24"/>
          <w:szCs w:val="24"/>
          <w:lang w:eastAsia="ru-RU"/>
        </w:rPr>
        <w:t>4</w:t>
      </w:r>
      <w:r w:rsidRPr="005A46FC">
        <w:rPr>
          <w:rFonts w:ascii="Times New Roman" w:eastAsia="Times New Roman" w:hAnsi="Times New Roman"/>
          <w:b/>
          <w:sz w:val="24"/>
          <w:szCs w:val="24"/>
          <w:lang w:eastAsia="ru-RU"/>
        </w:rPr>
        <w:t xml:space="preserve"> </w:t>
      </w:r>
      <w:r w:rsidR="00566737" w:rsidRPr="005A46FC">
        <w:rPr>
          <w:rFonts w:ascii="Times New Roman" w:hAnsi="Times New Roman"/>
          <w:b/>
          <w:sz w:val="24"/>
          <w:szCs w:val="24"/>
          <w:lang w:bidi="ru-RU"/>
        </w:rPr>
        <w:t xml:space="preserve">Особые указания и </w:t>
      </w:r>
      <w:r w:rsidR="007D0E84" w:rsidRPr="005A46FC">
        <w:rPr>
          <w:rFonts w:ascii="Times New Roman" w:eastAsia="Times New Roman" w:hAnsi="Times New Roman"/>
          <w:b/>
          <w:sz w:val="24"/>
          <w:szCs w:val="24"/>
          <w:lang w:eastAsia="ru-RU"/>
        </w:rPr>
        <w:t xml:space="preserve">меры </w:t>
      </w:r>
      <w:r w:rsidR="00D9686A" w:rsidRPr="005A46FC">
        <w:rPr>
          <w:rFonts w:ascii="Times New Roman" w:eastAsia="Times New Roman" w:hAnsi="Times New Roman"/>
          <w:b/>
          <w:sz w:val="24"/>
          <w:szCs w:val="24"/>
          <w:lang w:eastAsia="ru-RU"/>
        </w:rPr>
        <w:t>предосторожности при применении</w:t>
      </w:r>
    </w:p>
    <w:p w14:paraId="38D9DE2D" w14:textId="77777777" w:rsidR="00FC5186" w:rsidRPr="005A46FC" w:rsidRDefault="00FC5186" w:rsidP="00FC5186">
      <w:pPr>
        <w:spacing w:after="0" w:line="240" w:lineRule="auto"/>
        <w:jc w:val="both"/>
        <w:rPr>
          <w:rFonts w:ascii="Times New Roman" w:hAnsi="Times New Roman"/>
          <w:i/>
          <w:sz w:val="24"/>
          <w:szCs w:val="24"/>
        </w:rPr>
      </w:pPr>
      <w:r w:rsidRPr="005A46FC">
        <w:rPr>
          <w:rFonts w:ascii="Times New Roman" w:hAnsi="Times New Roman"/>
          <w:i/>
          <w:sz w:val="24"/>
          <w:szCs w:val="24"/>
        </w:rPr>
        <w:t>Гипертония</w:t>
      </w:r>
    </w:p>
    <w:p w14:paraId="192D477B" w14:textId="77777777" w:rsidR="000A15B0" w:rsidRPr="005A46FC" w:rsidRDefault="00FC5186" w:rsidP="00FC5186">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Сообщалось об артериальной гипертензии у пациентов, получавших ленватиниб, обычно возникающей в начале курса лечения (см. раздел 4.8). Перед началом лечения ленватинибом следует тщательно контролировать артериальное давление (АД), и, если известен факт, что пациенты страдают артериальной гипертензией, они должны получать стабильную дозу антигипертензивной терапии в течение как минимум 1 недели до начала лечения ленватинибом. Сообщалось о серьезных осложнениях плохо контролируемой артериальной гипертензии, включая расслоение аорты. Раннее выявление и эффективное лечение артериальной гипертензии важны для сведения к минимуму необходимости прерывания и снижения дозы ленватиниба. Прием антигипертензивных препаратов следует начинать сразу после подтверждения повышения АД. АД следует контролировать через 1 неделю после начала лечения ленватинибом, затем каждые 2 недели в течение первых 2 месяцев, а </w:t>
      </w:r>
      <w:r w:rsidR="00D24CD4" w:rsidRPr="005A46FC">
        <w:rPr>
          <w:rFonts w:ascii="Times New Roman" w:hAnsi="Times New Roman"/>
          <w:iCs/>
          <w:sz w:val="24"/>
          <w:szCs w:val="24"/>
        </w:rPr>
        <w:t>в последующем</w:t>
      </w:r>
      <w:r w:rsidRPr="005A46FC">
        <w:rPr>
          <w:rFonts w:ascii="Times New Roman" w:hAnsi="Times New Roman"/>
          <w:iCs/>
          <w:sz w:val="24"/>
          <w:szCs w:val="24"/>
        </w:rPr>
        <w:t xml:space="preserve"> ежемесячно. Выбор антигипертензивного лечения индивидуален в зависимости от клинической картины пациента и соответст</w:t>
      </w:r>
      <w:r w:rsidR="00D24CD4" w:rsidRPr="005A46FC">
        <w:rPr>
          <w:rFonts w:ascii="Times New Roman" w:hAnsi="Times New Roman"/>
          <w:iCs/>
          <w:sz w:val="24"/>
          <w:szCs w:val="24"/>
        </w:rPr>
        <w:t>вует</w:t>
      </w:r>
      <w:r w:rsidRPr="005A46FC">
        <w:rPr>
          <w:rFonts w:ascii="Times New Roman" w:hAnsi="Times New Roman"/>
          <w:iCs/>
          <w:sz w:val="24"/>
          <w:szCs w:val="24"/>
        </w:rPr>
        <w:t xml:space="preserve"> стандартной медицинской практике. У субъектов с АД в пределах нормы монотерапию одним из классов антигипертензивных средств следует начинать при появлении повышенного АД. Для тех пациентов, принимающих антигипертензивные лекарственные средства, доза текущего препарата может быть увеличена, если это целесообразно, или следует добавить один или несколько агентов другого класса антигипертензивных средств. При необходимости терапию при артериальной гипертензии проводят согласно таблице 5.</w:t>
      </w:r>
    </w:p>
    <w:p w14:paraId="791BF912" w14:textId="77777777" w:rsidR="00CE5915" w:rsidRPr="005A46FC" w:rsidRDefault="00CE5915" w:rsidP="00FC5186">
      <w:pPr>
        <w:spacing w:after="0" w:line="240" w:lineRule="auto"/>
        <w:jc w:val="both"/>
        <w:rPr>
          <w:rFonts w:ascii="Times New Roman" w:hAnsi="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C5186" w:rsidRPr="005A46FC" w14:paraId="472BCBC1" w14:textId="77777777" w:rsidTr="0028626F">
        <w:tc>
          <w:tcPr>
            <w:tcW w:w="9287" w:type="dxa"/>
            <w:gridSpan w:val="2"/>
            <w:shd w:val="clear" w:color="auto" w:fill="auto"/>
          </w:tcPr>
          <w:p w14:paraId="412F1B01" w14:textId="77777777" w:rsidR="00FC5186" w:rsidRPr="005A46FC" w:rsidRDefault="00FC5186" w:rsidP="0028626F">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Таблица 5</w:t>
            </w:r>
            <w:r w:rsidR="00291E5B">
              <w:rPr>
                <w:rFonts w:ascii="Times New Roman" w:hAnsi="Times New Roman"/>
                <w:b/>
                <w:bCs/>
                <w:iCs/>
                <w:sz w:val="24"/>
                <w:szCs w:val="24"/>
              </w:rPr>
              <w:t>.</w:t>
            </w:r>
            <w:r w:rsidRPr="005A46FC">
              <w:rPr>
                <w:rFonts w:ascii="Times New Roman" w:hAnsi="Times New Roman"/>
                <w:b/>
                <w:bCs/>
                <w:iCs/>
                <w:sz w:val="24"/>
                <w:szCs w:val="24"/>
              </w:rPr>
              <w:t xml:space="preserve"> Рекомендации по лечению артериальной гипертензии</w:t>
            </w:r>
          </w:p>
        </w:tc>
      </w:tr>
      <w:tr w:rsidR="00FC5186" w:rsidRPr="005A46FC" w14:paraId="140E7E5E" w14:textId="77777777" w:rsidTr="0028626F">
        <w:tc>
          <w:tcPr>
            <w:tcW w:w="4643" w:type="dxa"/>
            <w:shd w:val="clear" w:color="auto" w:fill="auto"/>
          </w:tcPr>
          <w:p w14:paraId="76349582" w14:textId="77777777" w:rsidR="00FC5186" w:rsidRPr="005A46FC" w:rsidRDefault="00FC5186"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Уровень артериального давления (АД)</w:t>
            </w:r>
          </w:p>
        </w:tc>
        <w:tc>
          <w:tcPr>
            <w:tcW w:w="4644" w:type="dxa"/>
            <w:shd w:val="clear" w:color="auto" w:fill="auto"/>
          </w:tcPr>
          <w:p w14:paraId="5A5899BB" w14:textId="77777777" w:rsidR="00FC5186" w:rsidRPr="005A46FC" w:rsidRDefault="00FC5186"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Рекомендуемые действия</w:t>
            </w:r>
          </w:p>
        </w:tc>
      </w:tr>
      <w:tr w:rsidR="00FC5186" w:rsidRPr="005A46FC" w14:paraId="6434EC55" w14:textId="77777777" w:rsidTr="0028626F">
        <w:tc>
          <w:tcPr>
            <w:tcW w:w="4643" w:type="dxa"/>
            <w:shd w:val="clear" w:color="auto" w:fill="auto"/>
          </w:tcPr>
          <w:p w14:paraId="0B12910D" w14:textId="77777777" w:rsidR="00FC5186" w:rsidRPr="005A46FC" w:rsidRDefault="00FC5186"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Систолическое АД ≥140 мм рт.ст. до &lt;160 мм рт.ст. или диастолическое АД ≥90 мм рт.ст. до &lt;100 мм рт.ст.</w:t>
            </w:r>
          </w:p>
        </w:tc>
        <w:tc>
          <w:tcPr>
            <w:tcW w:w="4644" w:type="dxa"/>
            <w:shd w:val="clear" w:color="auto" w:fill="auto"/>
          </w:tcPr>
          <w:p w14:paraId="62535C56" w14:textId="77777777" w:rsidR="00081294"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Продолжать прием ленватиниба и начать антигипертензивную терапию, если она еще не началась</w:t>
            </w:r>
          </w:p>
          <w:p w14:paraId="330A4D6C" w14:textId="77777777" w:rsidR="00081294"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ИЛИ</w:t>
            </w:r>
          </w:p>
          <w:p w14:paraId="2D48FD94" w14:textId="77777777" w:rsidR="00FC5186"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Продолжить прием ленватиниба и увеличить дозу текущей антигипертензивной терапии или начать дополнительную гипотензивную терапию.</w:t>
            </w:r>
          </w:p>
        </w:tc>
      </w:tr>
      <w:tr w:rsidR="00FC5186" w:rsidRPr="005A46FC" w14:paraId="2B6B2636" w14:textId="77777777" w:rsidTr="0028626F">
        <w:tc>
          <w:tcPr>
            <w:tcW w:w="4643" w:type="dxa"/>
            <w:shd w:val="clear" w:color="auto" w:fill="auto"/>
          </w:tcPr>
          <w:p w14:paraId="5D5B635A" w14:textId="77777777" w:rsidR="00FC5186"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Систолическое АД ≥160 мм рт.ст. или </w:t>
            </w:r>
            <w:r w:rsidRPr="005A46FC">
              <w:rPr>
                <w:rFonts w:ascii="Times New Roman" w:hAnsi="Times New Roman"/>
                <w:iCs/>
                <w:sz w:val="24"/>
                <w:szCs w:val="24"/>
              </w:rPr>
              <w:lastRenderedPageBreak/>
              <w:t>диастолическое АД ≥100 мм рт.ст., несмотря на оптимальную антигипертензивную терапию</w:t>
            </w:r>
          </w:p>
        </w:tc>
        <w:tc>
          <w:tcPr>
            <w:tcW w:w="4644" w:type="dxa"/>
            <w:shd w:val="clear" w:color="auto" w:fill="auto"/>
          </w:tcPr>
          <w:p w14:paraId="15FF51CF" w14:textId="77777777" w:rsidR="00081294"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1. Отказаться от приема ленватиниба</w:t>
            </w:r>
          </w:p>
          <w:p w14:paraId="7EF22B11" w14:textId="77777777" w:rsidR="00FC5186"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2. Когда систолическое АД ≤150 мм рт.ст., диастолическое АД ≤95 мм рт.ст. и пациент получает стабильную дозу антигипертензивной терапии в течение не менее 48 часов, возобновите прием ленватиниба в сниженной дозе (см. раздел 4.2).</w:t>
            </w:r>
          </w:p>
        </w:tc>
      </w:tr>
      <w:tr w:rsidR="00FC5186" w:rsidRPr="005A46FC" w14:paraId="2F171249" w14:textId="77777777" w:rsidTr="0028626F">
        <w:tc>
          <w:tcPr>
            <w:tcW w:w="4643" w:type="dxa"/>
            <w:shd w:val="clear" w:color="auto" w:fill="auto"/>
          </w:tcPr>
          <w:p w14:paraId="48A5A2FC" w14:textId="77777777" w:rsidR="00FC5186"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Угрожающие жизни последствия (злокачественная гипертензия, неврологический дефицит или гипертонический криз)</w:t>
            </w:r>
          </w:p>
        </w:tc>
        <w:tc>
          <w:tcPr>
            <w:tcW w:w="4644" w:type="dxa"/>
            <w:shd w:val="clear" w:color="auto" w:fill="auto"/>
          </w:tcPr>
          <w:p w14:paraId="156A6E53" w14:textId="77777777" w:rsidR="00FC5186"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Требуется оперативное вмешательство. Прекратить прием ленватиниба и назначить соответствующее лечение.</w:t>
            </w:r>
          </w:p>
        </w:tc>
      </w:tr>
    </w:tbl>
    <w:p w14:paraId="232553D6" w14:textId="77777777" w:rsidR="00CE5915" w:rsidRPr="005A46FC" w:rsidRDefault="00CE5915" w:rsidP="00E60B37">
      <w:pPr>
        <w:spacing w:after="0" w:line="240" w:lineRule="auto"/>
        <w:jc w:val="both"/>
        <w:rPr>
          <w:rFonts w:ascii="Times New Roman" w:hAnsi="Times New Roman"/>
          <w:i/>
          <w:sz w:val="24"/>
          <w:szCs w:val="24"/>
        </w:rPr>
      </w:pPr>
    </w:p>
    <w:p w14:paraId="6A0DFFFF" w14:textId="77777777" w:rsidR="00E60B37" w:rsidRPr="005A46FC" w:rsidRDefault="00E60B37" w:rsidP="00E60B37">
      <w:pPr>
        <w:spacing w:after="0" w:line="240" w:lineRule="auto"/>
        <w:jc w:val="both"/>
        <w:rPr>
          <w:rFonts w:ascii="Times New Roman" w:hAnsi="Times New Roman"/>
          <w:i/>
          <w:sz w:val="24"/>
          <w:szCs w:val="24"/>
        </w:rPr>
      </w:pPr>
      <w:r w:rsidRPr="005A46FC">
        <w:rPr>
          <w:rFonts w:ascii="Times New Roman" w:hAnsi="Times New Roman"/>
          <w:i/>
          <w:sz w:val="24"/>
          <w:szCs w:val="24"/>
        </w:rPr>
        <w:t>Аневризмы и расслоения артерий</w:t>
      </w:r>
    </w:p>
    <w:p w14:paraId="3622CFE0" w14:textId="77777777" w:rsidR="00E60B37" w:rsidRPr="005A46FC" w:rsidRDefault="00E60B37" w:rsidP="00E60B37">
      <w:pPr>
        <w:spacing w:after="0" w:line="240" w:lineRule="auto"/>
        <w:jc w:val="both"/>
        <w:rPr>
          <w:rFonts w:ascii="Times New Roman" w:hAnsi="Times New Roman"/>
          <w:iCs/>
          <w:sz w:val="24"/>
          <w:szCs w:val="24"/>
        </w:rPr>
      </w:pPr>
      <w:r w:rsidRPr="005A46FC">
        <w:rPr>
          <w:rFonts w:ascii="Times New Roman" w:hAnsi="Times New Roman"/>
          <w:iCs/>
          <w:sz w:val="24"/>
          <w:szCs w:val="24"/>
        </w:rPr>
        <w:t>Применение ингибиторов пути VEGF у пациентов с артериальной гипертензией или без нее может способствовать образованию аневризм и/или расслоению артерий. Перед назначением ленватиниба этот риск следует тщательно взвесить у пациентов с такими факторами риска, как артериальная гипертензия или аневризма в анамнезе.</w:t>
      </w:r>
    </w:p>
    <w:p w14:paraId="708D8FFA" w14:textId="77777777" w:rsidR="00E60B37" w:rsidRPr="005A46FC" w:rsidRDefault="00E60B37" w:rsidP="00E60B37">
      <w:pPr>
        <w:spacing w:after="0" w:line="240" w:lineRule="auto"/>
        <w:jc w:val="both"/>
        <w:rPr>
          <w:rFonts w:ascii="Times New Roman" w:hAnsi="Times New Roman"/>
          <w:i/>
          <w:sz w:val="24"/>
          <w:szCs w:val="24"/>
        </w:rPr>
      </w:pPr>
      <w:r w:rsidRPr="005A46FC">
        <w:rPr>
          <w:rFonts w:ascii="Times New Roman" w:hAnsi="Times New Roman"/>
          <w:i/>
          <w:sz w:val="24"/>
          <w:szCs w:val="24"/>
        </w:rPr>
        <w:t>Протеинурия</w:t>
      </w:r>
    </w:p>
    <w:p w14:paraId="01D94E3A" w14:textId="77777777" w:rsidR="00FC5186" w:rsidRPr="005A46FC" w:rsidRDefault="00E60B37" w:rsidP="00E60B37">
      <w:pPr>
        <w:spacing w:after="0" w:line="240" w:lineRule="auto"/>
        <w:jc w:val="both"/>
        <w:rPr>
          <w:rFonts w:ascii="Times New Roman" w:hAnsi="Times New Roman"/>
          <w:iCs/>
          <w:sz w:val="24"/>
          <w:szCs w:val="24"/>
        </w:rPr>
      </w:pPr>
      <w:r w:rsidRPr="005A46FC">
        <w:rPr>
          <w:rFonts w:ascii="Times New Roman" w:hAnsi="Times New Roman"/>
          <w:iCs/>
          <w:sz w:val="24"/>
          <w:szCs w:val="24"/>
        </w:rPr>
        <w:t>Сообщалось о протеинурии у пациентов, получавших ленватиниб, обычно возникающей в начале курса лечения (см. раздел 4.8). Необходимо регулярно контролировать содержание белка в моче. При обнаружении протеинурии с помощью тест-полосок мочи ≥2+ может потребоваться прерывание дозы, корректировка или прекращение приема препарата (см. раздел 4.2). Сообщалось о случаях нефротического синдрома у пациентов, принимавших ленватиниб. Прием ленватиниба следует прекратить в случае развития нефротического синдрома.</w:t>
      </w:r>
    </w:p>
    <w:p w14:paraId="089AC9D6" w14:textId="77777777" w:rsidR="00E60B37" w:rsidRPr="005A46FC" w:rsidRDefault="00E60B37" w:rsidP="00E60B37">
      <w:pPr>
        <w:spacing w:after="0" w:line="240" w:lineRule="auto"/>
        <w:jc w:val="both"/>
        <w:rPr>
          <w:rFonts w:ascii="Times New Roman" w:hAnsi="Times New Roman"/>
          <w:i/>
          <w:sz w:val="24"/>
          <w:szCs w:val="24"/>
        </w:rPr>
      </w:pPr>
      <w:r w:rsidRPr="005A46FC">
        <w:rPr>
          <w:rFonts w:ascii="Times New Roman" w:hAnsi="Times New Roman"/>
          <w:i/>
          <w:sz w:val="24"/>
          <w:szCs w:val="24"/>
        </w:rPr>
        <w:t>Гепатотоксичность</w:t>
      </w:r>
    </w:p>
    <w:p w14:paraId="353DC427" w14:textId="77777777" w:rsidR="00E60B37" w:rsidRPr="005A46FC" w:rsidRDefault="00E60B37" w:rsidP="00E60B37">
      <w:pPr>
        <w:spacing w:after="0" w:line="240" w:lineRule="auto"/>
        <w:jc w:val="both"/>
        <w:rPr>
          <w:rFonts w:ascii="Times New Roman" w:hAnsi="Times New Roman"/>
          <w:iCs/>
          <w:sz w:val="24"/>
          <w:szCs w:val="24"/>
        </w:rPr>
      </w:pPr>
      <w:r w:rsidRPr="005A46FC">
        <w:rPr>
          <w:rFonts w:ascii="Times New Roman" w:hAnsi="Times New Roman"/>
          <w:iCs/>
          <w:sz w:val="24"/>
          <w:szCs w:val="24"/>
        </w:rPr>
        <w:t>При ДРЩЖ побочные реакции со стороны печени, наиболее часто встречающиеся у пациентов, получавших ленватиниб, включали повышение уровня аланинаминотрансферазы (АЛТ), аспартатаминотрансферазы (АСТ) и билирубина в крови. Сообщалось о печеночной недостаточности и остром гепатите (&lt;1%; см. раздел</w:t>
      </w:r>
      <w:r w:rsidR="003614EE" w:rsidRPr="005A46FC">
        <w:rPr>
          <w:rFonts w:ascii="Times New Roman" w:hAnsi="Times New Roman"/>
          <w:iCs/>
          <w:sz w:val="24"/>
          <w:szCs w:val="24"/>
        </w:rPr>
        <w:t xml:space="preserve"> 4.8</w:t>
      </w:r>
      <w:r w:rsidRPr="005A46FC">
        <w:rPr>
          <w:rFonts w:ascii="Times New Roman" w:hAnsi="Times New Roman"/>
          <w:iCs/>
          <w:sz w:val="24"/>
          <w:szCs w:val="24"/>
        </w:rPr>
        <w:t>) у пациентов с ДРЩЖ, получавших ленватиниб. Случаи печеночной недостаточности, как правило, регистрировались у пациентов с прогрессирующим метастатическим поражением печени.</w:t>
      </w:r>
    </w:p>
    <w:p w14:paraId="1D9AD97D" w14:textId="77777777" w:rsidR="00E60B37" w:rsidRPr="005A46FC" w:rsidRDefault="00E60B37" w:rsidP="00E60B37">
      <w:pPr>
        <w:spacing w:after="0" w:line="240" w:lineRule="auto"/>
        <w:jc w:val="both"/>
        <w:rPr>
          <w:rFonts w:ascii="Times New Roman" w:hAnsi="Times New Roman"/>
          <w:iCs/>
          <w:sz w:val="24"/>
          <w:szCs w:val="24"/>
        </w:rPr>
      </w:pPr>
      <w:r w:rsidRPr="005A46FC">
        <w:rPr>
          <w:rFonts w:ascii="Times New Roman" w:hAnsi="Times New Roman"/>
          <w:iCs/>
          <w:sz w:val="24"/>
          <w:szCs w:val="24"/>
        </w:rPr>
        <w:t>У пациентов с ГЦ</w:t>
      </w:r>
      <w:r w:rsidR="003614EE" w:rsidRPr="005A46FC">
        <w:rPr>
          <w:rFonts w:ascii="Times New Roman" w:hAnsi="Times New Roman"/>
          <w:iCs/>
          <w:sz w:val="24"/>
          <w:szCs w:val="24"/>
        </w:rPr>
        <w:t>Р</w:t>
      </w:r>
      <w:r w:rsidRPr="005A46FC">
        <w:rPr>
          <w:rFonts w:ascii="Times New Roman" w:hAnsi="Times New Roman"/>
          <w:iCs/>
          <w:sz w:val="24"/>
          <w:szCs w:val="24"/>
        </w:rPr>
        <w:t xml:space="preserve">, получавших ленватиниб в исследовании REFLECT, нежелательные реакции со стороны печени, включая печеночную энцефалопатию и печеночную недостаточность (включая фатальные реакции), регистрировались с большей частотой (см. </w:t>
      </w:r>
      <w:r w:rsidR="003614EE" w:rsidRPr="005A46FC">
        <w:rPr>
          <w:rFonts w:ascii="Times New Roman" w:hAnsi="Times New Roman"/>
          <w:iCs/>
          <w:sz w:val="24"/>
          <w:szCs w:val="24"/>
        </w:rPr>
        <w:t>р</w:t>
      </w:r>
      <w:r w:rsidRPr="005A46FC">
        <w:rPr>
          <w:rFonts w:ascii="Times New Roman" w:hAnsi="Times New Roman"/>
          <w:iCs/>
          <w:sz w:val="24"/>
          <w:szCs w:val="24"/>
        </w:rPr>
        <w:t>аздел 4.8) по сравнению с пациентами, получавшими сорафениб. Пациенты с тяжелой печеночной недостаточностью и/или более выраженной опухолью печени на исходном уровне имели более высокий риск развития печеночной энцефалопатии и печеночной недостаточности. Печеночная энцефалопатия также чаще встречалась у пациентов в возрасте 75 лет и старше. Примерно половина случаев печеночной недостаточности и одна треть случаев печеночной энцефалопатии были зарегистрированы у пациентов с прогрессир</w:t>
      </w:r>
      <w:r w:rsidR="003614EE" w:rsidRPr="005A46FC">
        <w:rPr>
          <w:rFonts w:ascii="Times New Roman" w:hAnsi="Times New Roman"/>
          <w:iCs/>
          <w:sz w:val="24"/>
          <w:szCs w:val="24"/>
        </w:rPr>
        <w:t xml:space="preserve">ующим </w:t>
      </w:r>
      <w:r w:rsidRPr="005A46FC">
        <w:rPr>
          <w:rFonts w:ascii="Times New Roman" w:hAnsi="Times New Roman"/>
          <w:iCs/>
          <w:sz w:val="24"/>
          <w:szCs w:val="24"/>
        </w:rPr>
        <w:t>заболевани</w:t>
      </w:r>
      <w:r w:rsidR="003614EE" w:rsidRPr="005A46FC">
        <w:rPr>
          <w:rFonts w:ascii="Times New Roman" w:hAnsi="Times New Roman"/>
          <w:iCs/>
          <w:sz w:val="24"/>
          <w:szCs w:val="24"/>
        </w:rPr>
        <w:t>ем</w:t>
      </w:r>
      <w:r w:rsidRPr="005A46FC">
        <w:rPr>
          <w:rFonts w:ascii="Times New Roman" w:hAnsi="Times New Roman"/>
          <w:iCs/>
          <w:sz w:val="24"/>
          <w:szCs w:val="24"/>
        </w:rPr>
        <w:t>.</w:t>
      </w:r>
    </w:p>
    <w:p w14:paraId="58964605" w14:textId="77777777" w:rsidR="003614EE" w:rsidRPr="005A46FC" w:rsidRDefault="003614EE" w:rsidP="003614EE">
      <w:pPr>
        <w:spacing w:after="0" w:line="240" w:lineRule="auto"/>
        <w:jc w:val="both"/>
        <w:rPr>
          <w:rFonts w:ascii="Times New Roman" w:hAnsi="Times New Roman"/>
          <w:iCs/>
          <w:sz w:val="24"/>
          <w:szCs w:val="24"/>
        </w:rPr>
      </w:pPr>
      <w:r w:rsidRPr="005A46FC">
        <w:rPr>
          <w:rFonts w:ascii="Times New Roman" w:hAnsi="Times New Roman"/>
          <w:iCs/>
          <w:sz w:val="24"/>
          <w:szCs w:val="24"/>
        </w:rPr>
        <w:t>Данные о пациентах с ГЦР с умеренной печеночной недостаточностью (класс В по Чайлд-Пью) очень ограничены, и в настоящее время нет доступных данных о пациентах с ГЦР с тяжелой печеночной недостаточностью (класс С по Чайлд-Пью). Поскольку ленватиниб в основном выводится путем метаболизма в печени, ожидается увеличение экспозиции у пациентов с умеренной и тяжелой печеночной недостаточностью.</w:t>
      </w:r>
    </w:p>
    <w:p w14:paraId="18091974" w14:textId="77777777" w:rsidR="003614EE" w:rsidRPr="005A46FC" w:rsidRDefault="003614EE" w:rsidP="003614EE">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При раке эндометрия нежелательные реакции со стороны печени, наиболее часто встречающиеся у пациентов, получавших ленватиниб и пембролизумаб, включали повышение активности аланинаминотрансферазы (АЛТ) и аспартатаминотрансферазы </w:t>
      </w:r>
      <w:r w:rsidRPr="005A46FC">
        <w:rPr>
          <w:rFonts w:ascii="Times New Roman" w:hAnsi="Times New Roman"/>
          <w:iCs/>
          <w:sz w:val="24"/>
          <w:szCs w:val="24"/>
        </w:rPr>
        <w:lastRenderedPageBreak/>
        <w:t>(АСТ). Сообщалось о печеночной недостаточности и гепатите (&lt;1%; см. раздел 4.8) у пациентов с раком эндометрия, получавших ленватиниб и пембролизумаб.</w:t>
      </w:r>
    </w:p>
    <w:p w14:paraId="30223B07" w14:textId="77777777" w:rsidR="003614EE" w:rsidRPr="005A46FC" w:rsidRDefault="003614EE" w:rsidP="003614EE">
      <w:pPr>
        <w:spacing w:after="0" w:line="240" w:lineRule="auto"/>
        <w:jc w:val="both"/>
        <w:rPr>
          <w:rFonts w:ascii="Times New Roman" w:hAnsi="Times New Roman"/>
          <w:iCs/>
          <w:sz w:val="24"/>
          <w:szCs w:val="24"/>
        </w:rPr>
      </w:pPr>
      <w:r w:rsidRPr="005A46FC">
        <w:rPr>
          <w:rFonts w:ascii="Times New Roman" w:hAnsi="Times New Roman"/>
          <w:iCs/>
          <w:sz w:val="24"/>
          <w:szCs w:val="24"/>
        </w:rPr>
        <w:t>Рекомендуется тщательный мониторинг общей безопасности у пациентов с легкой или умеренной печеночной недостаточностью (см. разделы 4.2 и 5.2). Перед началом лечения следует контролировать функциональные пробы печени, затем каждые 2 недели в течение первых 2 месяцев, а затем ежемесячно во время лечения. Пациентов с ГЦР следует контролировать на предмет снижения функции печени, включая печеночную энцефалопатию. В случае гепатотоксичности может потребоваться прерывание дозы, корректировка или прекращение приема (см. раздел 4.2).</w:t>
      </w:r>
    </w:p>
    <w:p w14:paraId="2C3F44C0" w14:textId="77777777" w:rsidR="00FB2259" w:rsidRPr="005A46FC" w:rsidRDefault="00FB2259" w:rsidP="00FB2259">
      <w:pPr>
        <w:spacing w:after="0" w:line="240" w:lineRule="auto"/>
        <w:jc w:val="both"/>
        <w:rPr>
          <w:rFonts w:ascii="Times New Roman" w:hAnsi="Times New Roman"/>
          <w:i/>
          <w:sz w:val="24"/>
          <w:szCs w:val="24"/>
        </w:rPr>
      </w:pPr>
      <w:r w:rsidRPr="005A46FC">
        <w:rPr>
          <w:rFonts w:ascii="Times New Roman" w:hAnsi="Times New Roman"/>
          <w:i/>
          <w:sz w:val="24"/>
          <w:szCs w:val="24"/>
        </w:rPr>
        <w:t>Почечная недостаточность и нарушения</w:t>
      </w:r>
    </w:p>
    <w:p w14:paraId="123D3EFD" w14:textId="77777777" w:rsidR="00FB2259" w:rsidRPr="005A46FC" w:rsidRDefault="00FB2259" w:rsidP="00FB2259">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Сообщалось о почечной недостаточности и </w:t>
      </w:r>
      <w:bookmarkStart w:id="4" w:name="_Hlk139040174"/>
      <w:r w:rsidRPr="005A46FC">
        <w:rPr>
          <w:rFonts w:ascii="Times New Roman" w:hAnsi="Times New Roman"/>
          <w:iCs/>
          <w:sz w:val="24"/>
          <w:szCs w:val="24"/>
        </w:rPr>
        <w:t xml:space="preserve">нарушении функции почек </w:t>
      </w:r>
      <w:bookmarkEnd w:id="4"/>
      <w:r w:rsidRPr="005A46FC">
        <w:rPr>
          <w:rFonts w:ascii="Times New Roman" w:hAnsi="Times New Roman"/>
          <w:iCs/>
          <w:sz w:val="24"/>
          <w:szCs w:val="24"/>
        </w:rPr>
        <w:t>у пациентов, получавших ленватиниб (см. раздел 4.8). Основным выявленным фактором риска была дегидратация и/или гиповолемия из-за желудочно-кишечной токсичности. Следует активно контролировать желудочно-кишечную токсичность, чтобы снизить риск развития почечной недостаточности или нарушения функции почек. Может потребоваться прерывание дозы, корректировка или прекращение приема (см. раздел 4.2).</w:t>
      </w:r>
    </w:p>
    <w:p w14:paraId="52A61D17" w14:textId="77777777" w:rsidR="00FB2259" w:rsidRPr="005A46FC" w:rsidRDefault="00FB2259" w:rsidP="00FB2259">
      <w:pPr>
        <w:spacing w:after="0" w:line="240" w:lineRule="auto"/>
        <w:jc w:val="both"/>
        <w:rPr>
          <w:rFonts w:ascii="Times New Roman" w:hAnsi="Times New Roman"/>
          <w:iCs/>
          <w:sz w:val="24"/>
          <w:szCs w:val="24"/>
        </w:rPr>
      </w:pPr>
      <w:r w:rsidRPr="005A46FC">
        <w:rPr>
          <w:rFonts w:ascii="Times New Roman" w:hAnsi="Times New Roman"/>
          <w:iCs/>
          <w:sz w:val="24"/>
          <w:szCs w:val="24"/>
        </w:rPr>
        <w:t>Если у пациентов имеется тяжелая почечная недостаточность, следует скорректировать начальную дозу ленватиниба (см. разделы 4.2 и 5.2).</w:t>
      </w:r>
    </w:p>
    <w:p w14:paraId="49B6E980" w14:textId="77777777" w:rsidR="00FB2259" w:rsidRPr="005A46FC" w:rsidRDefault="00FB2259" w:rsidP="00FB2259">
      <w:pPr>
        <w:spacing w:after="0" w:line="240" w:lineRule="auto"/>
        <w:jc w:val="both"/>
        <w:rPr>
          <w:rFonts w:ascii="Times New Roman" w:hAnsi="Times New Roman"/>
          <w:i/>
          <w:sz w:val="24"/>
          <w:szCs w:val="24"/>
        </w:rPr>
      </w:pPr>
      <w:r w:rsidRPr="005A46FC">
        <w:rPr>
          <w:rFonts w:ascii="Times New Roman" w:hAnsi="Times New Roman"/>
          <w:i/>
          <w:sz w:val="24"/>
          <w:szCs w:val="24"/>
        </w:rPr>
        <w:t>Диарея</w:t>
      </w:r>
    </w:p>
    <w:p w14:paraId="0928ADCB" w14:textId="77777777" w:rsidR="00FB2259" w:rsidRPr="005A46FC" w:rsidRDefault="00FB2259" w:rsidP="00FB2259">
      <w:pPr>
        <w:spacing w:after="0" w:line="240" w:lineRule="auto"/>
        <w:jc w:val="both"/>
        <w:rPr>
          <w:rFonts w:ascii="Times New Roman" w:hAnsi="Times New Roman"/>
          <w:iCs/>
          <w:sz w:val="24"/>
          <w:szCs w:val="24"/>
        </w:rPr>
      </w:pPr>
      <w:r w:rsidRPr="005A46FC">
        <w:rPr>
          <w:rFonts w:ascii="Times New Roman" w:hAnsi="Times New Roman"/>
          <w:iCs/>
          <w:sz w:val="24"/>
          <w:szCs w:val="24"/>
        </w:rPr>
        <w:t>Часто сообщалось о диарее у пациентов, получавших ленватиниб, обычно возникающей в начале курса лечения (см. раздел 4.8). Необходимо немедленно начать медикаментозное лечение диареи, чтобы предотвратить обезвоживание. Прием ленватиниба следует прекратить в случае сохранения диареи 4 степени, несмотря на медикаментозное лечение.</w:t>
      </w:r>
    </w:p>
    <w:p w14:paraId="789FF380" w14:textId="77777777" w:rsidR="00FB2259" w:rsidRPr="005A46FC" w:rsidRDefault="00FB2259" w:rsidP="00FB2259">
      <w:pPr>
        <w:spacing w:after="0" w:line="240" w:lineRule="auto"/>
        <w:jc w:val="both"/>
        <w:rPr>
          <w:rFonts w:ascii="Times New Roman" w:hAnsi="Times New Roman"/>
          <w:i/>
          <w:sz w:val="24"/>
          <w:szCs w:val="24"/>
        </w:rPr>
      </w:pPr>
      <w:r w:rsidRPr="005A46FC">
        <w:rPr>
          <w:rFonts w:ascii="Times New Roman" w:hAnsi="Times New Roman"/>
          <w:i/>
          <w:sz w:val="24"/>
          <w:szCs w:val="24"/>
        </w:rPr>
        <w:t>Сердечная дисфункция</w:t>
      </w:r>
    </w:p>
    <w:p w14:paraId="2B4D5C87" w14:textId="77777777" w:rsidR="00FB2259" w:rsidRPr="005A46FC" w:rsidRDefault="00FB2259" w:rsidP="00FB2259">
      <w:pPr>
        <w:spacing w:after="0" w:line="240" w:lineRule="auto"/>
        <w:jc w:val="both"/>
        <w:rPr>
          <w:rFonts w:ascii="Times New Roman" w:hAnsi="Times New Roman"/>
          <w:iCs/>
          <w:sz w:val="24"/>
          <w:szCs w:val="24"/>
        </w:rPr>
      </w:pPr>
      <w:r w:rsidRPr="005A46FC">
        <w:rPr>
          <w:rFonts w:ascii="Times New Roman" w:hAnsi="Times New Roman"/>
          <w:iCs/>
          <w:sz w:val="24"/>
          <w:szCs w:val="24"/>
        </w:rPr>
        <w:t>Сообщалось о сердечной недостаточности (&lt;1%) и снижении фракции выброса левого желудочка у пациентов, получавших ленватиниб (см. раздел 4.8). Пациенты должны находиться под наблюдением на предмет клинических симптомов или признаков сердечной декомпенсации, поскольку может потребоваться прерывание дозы, корректировка или отмена препарата (см. раздел 4.2).</w:t>
      </w:r>
    </w:p>
    <w:p w14:paraId="51E37797" w14:textId="77777777" w:rsidR="00171839" w:rsidRPr="005A46FC" w:rsidRDefault="00171839" w:rsidP="00171839">
      <w:pPr>
        <w:spacing w:after="0" w:line="240" w:lineRule="auto"/>
        <w:jc w:val="both"/>
        <w:rPr>
          <w:rFonts w:ascii="Times New Roman" w:hAnsi="Times New Roman"/>
          <w:i/>
          <w:sz w:val="24"/>
          <w:szCs w:val="24"/>
        </w:rPr>
      </w:pPr>
      <w:r w:rsidRPr="005A46FC">
        <w:rPr>
          <w:rFonts w:ascii="Times New Roman" w:hAnsi="Times New Roman"/>
          <w:i/>
          <w:sz w:val="24"/>
          <w:szCs w:val="24"/>
        </w:rPr>
        <w:t>Синдром задней обратимой энцефалопатии (PRES)/Синдром обратимой задней лейкоэнцефалопатии (RPLS)</w:t>
      </w:r>
    </w:p>
    <w:p w14:paraId="1E6FBFD0" w14:textId="77777777" w:rsidR="00FB2259" w:rsidRPr="005A46FC" w:rsidRDefault="00171839" w:rsidP="00171839">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Сообщалось о </w:t>
      </w:r>
      <w:r w:rsidR="00D57A46" w:rsidRPr="005A46FC">
        <w:rPr>
          <w:rFonts w:ascii="Times New Roman" w:hAnsi="Times New Roman"/>
          <w:iCs/>
          <w:sz w:val="24"/>
          <w:szCs w:val="24"/>
        </w:rPr>
        <w:t>случаях синдрома задней обратимой энцефалопатии (</w:t>
      </w:r>
      <w:r w:rsidR="00D57A46" w:rsidRPr="005A46FC">
        <w:rPr>
          <w:rFonts w:ascii="Times New Roman" w:hAnsi="Times New Roman"/>
          <w:iCs/>
          <w:sz w:val="24"/>
          <w:szCs w:val="24"/>
          <w:lang w:val="en-US"/>
        </w:rPr>
        <w:t>PRES</w:t>
      </w:r>
      <w:r w:rsidR="00D57A46" w:rsidRPr="005A46FC">
        <w:rPr>
          <w:rFonts w:ascii="Times New Roman" w:hAnsi="Times New Roman"/>
          <w:iCs/>
          <w:sz w:val="24"/>
          <w:szCs w:val="24"/>
        </w:rPr>
        <w:t>)</w:t>
      </w:r>
      <w:r w:rsidRPr="005A46FC">
        <w:rPr>
          <w:rFonts w:ascii="Times New Roman" w:hAnsi="Times New Roman"/>
          <w:iCs/>
          <w:sz w:val="24"/>
          <w:szCs w:val="24"/>
        </w:rPr>
        <w:t xml:space="preserve">, также известном как </w:t>
      </w:r>
      <w:r w:rsidR="00D57A46" w:rsidRPr="005A46FC">
        <w:rPr>
          <w:rFonts w:ascii="Times New Roman" w:hAnsi="Times New Roman"/>
          <w:iCs/>
          <w:sz w:val="24"/>
          <w:szCs w:val="24"/>
        </w:rPr>
        <w:t>синдром обратимой задней лейкоэнцефалопатии (</w:t>
      </w:r>
      <w:r w:rsidR="00D57A46" w:rsidRPr="005A46FC">
        <w:rPr>
          <w:rFonts w:ascii="Times New Roman" w:hAnsi="Times New Roman"/>
          <w:iCs/>
          <w:sz w:val="24"/>
          <w:szCs w:val="24"/>
          <w:lang w:val="en-US"/>
        </w:rPr>
        <w:t>RPLS</w:t>
      </w:r>
      <w:r w:rsidR="00D57A46" w:rsidRPr="005A46FC">
        <w:rPr>
          <w:rFonts w:ascii="Times New Roman" w:hAnsi="Times New Roman"/>
          <w:iCs/>
          <w:sz w:val="24"/>
          <w:szCs w:val="24"/>
        </w:rPr>
        <w:t>)</w:t>
      </w:r>
      <w:r w:rsidRPr="005A46FC">
        <w:rPr>
          <w:rFonts w:ascii="Times New Roman" w:hAnsi="Times New Roman"/>
          <w:iCs/>
          <w:sz w:val="24"/>
          <w:szCs w:val="24"/>
        </w:rPr>
        <w:t xml:space="preserve">, у пациентов, получавших ленватиниб (&lt;1%; см. раздел 4.8). PRES — это неврологическое расстройство, которое может проявляться головной болью, судорогами, вялостью, спутанностью сознания, изменением психической функции, слепотой и другими зрительными или неврологическими нарушениями. Возможна гипертония от легкой до тяжелой степени. </w:t>
      </w:r>
      <w:r w:rsidR="00D57A46" w:rsidRPr="005A46FC">
        <w:rPr>
          <w:rFonts w:ascii="Times New Roman" w:hAnsi="Times New Roman"/>
          <w:iCs/>
          <w:sz w:val="24"/>
          <w:szCs w:val="24"/>
        </w:rPr>
        <w:t>Необходима м</w:t>
      </w:r>
      <w:r w:rsidRPr="005A46FC">
        <w:rPr>
          <w:rFonts w:ascii="Times New Roman" w:hAnsi="Times New Roman"/>
          <w:iCs/>
          <w:sz w:val="24"/>
          <w:szCs w:val="24"/>
        </w:rPr>
        <w:t xml:space="preserve">агнитно-резонансная томография для подтверждения диагноза PRES. Следует принимать соответствующие меры для контроля артериального давления (см. раздел 4.4). У пациентов с признаками или симптомами PRES может потребоваться прерывание дозы, корректировка или прекращение приема </w:t>
      </w:r>
      <w:r w:rsidR="00D57A46" w:rsidRPr="005A46FC">
        <w:rPr>
          <w:rFonts w:ascii="Times New Roman" w:hAnsi="Times New Roman"/>
          <w:iCs/>
          <w:sz w:val="24"/>
          <w:szCs w:val="24"/>
        </w:rPr>
        <w:t xml:space="preserve">препарата </w:t>
      </w:r>
      <w:r w:rsidRPr="005A46FC">
        <w:rPr>
          <w:rFonts w:ascii="Times New Roman" w:hAnsi="Times New Roman"/>
          <w:iCs/>
          <w:sz w:val="24"/>
          <w:szCs w:val="24"/>
        </w:rPr>
        <w:t>(см. раздел 4.2).</w:t>
      </w:r>
    </w:p>
    <w:p w14:paraId="401E4DE1" w14:textId="77777777" w:rsidR="00D57A46" w:rsidRPr="005A46FC" w:rsidRDefault="00D57A46" w:rsidP="00D57A46">
      <w:pPr>
        <w:spacing w:after="0" w:line="240" w:lineRule="auto"/>
        <w:jc w:val="both"/>
        <w:rPr>
          <w:rFonts w:ascii="Times New Roman" w:hAnsi="Times New Roman"/>
          <w:i/>
          <w:sz w:val="24"/>
          <w:szCs w:val="24"/>
        </w:rPr>
      </w:pPr>
      <w:r w:rsidRPr="005A46FC">
        <w:rPr>
          <w:rFonts w:ascii="Times New Roman" w:hAnsi="Times New Roman"/>
          <w:i/>
          <w:sz w:val="24"/>
          <w:szCs w:val="24"/>
        </w:rPr>
        <w:t>Артериальные тромбоэмболии</w:t>
      </w:r>
    </w:p>
    <w:p w14:paraId="659E76DF" w14:textId="77777777" w:rsidR="00D57A46" w:rsidRPr="005A46FC" w:rsidRDefault="00D57A46" w:rsidP="00D57A46">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У пациентов, получавших ленватиниб, сообщалось об артериальных тромбоэмболиях (нарушении мозгового кровообращения, транзиторной ишемической атаке и инфаркте миокарда) (см. раздел 4.8). Ленватиниб не изучался у пациентов, перенесших артериальную тромбоэмболию в течение предыдущих 6 месяцев, следовательно его следует применять с осторожностью у данной группы лиц. Решение о лечении следует принимать на основе оценки соотношения польза/риск для каждого отдельного </w:t>
      </w:r>
      <w:r w:rsidRPr="005A46FC">
        <w:rPr>
          <w:rFonts w:ascii="Times New Roman" w:hAnsi="Times New Roman"/>
          <w:iCs/>
          <w:sz w:val="24"/>
          <w:szCs w:val="24"/>
        </w:rPr>
        <w:lastRenderedPageBreak/>
        <w:t>пациента. Прием ленватиниба следует прекратить после возникновения артериального тромбоза.</w:t>
      </w:r>
    </w:p>
    <w:p w14:paraId="0B432374" w14:textId="77777777" w:rsidR="00D57A46" w:rsidRPr="005A46FC" w:rsidRDefault="00D57A46" w:rsidP="00D57A46">
      <w:pPr>
        <w:spacing w:after="0" w:line="240" w:lineRule="auto"/>
        <w:jc w:val="both"/>
        <w:rPr>
          <w:rFonts w:ascii="Times New Roman" w:hAnsi="Times New Roman"/>
          <w:i/>
          <w:sz w:val="24"/>
          <w:szCs w:val="24"/>
        </w:rPr>
      </w:pPr>
      <w:r w:rsidRPr="005A46FC">
        <w:rPr>
          <w:rFonts w:ascii="Times New Roman" w:hAnsi="Times New Roman"/>
          <w:i/>
          <w:sz w:val="24"/>
          <w:szCs w:val="24"/>
        </w:rPr>
        <w:t>Женщины репродуктивного возраста</w:t>
      </w:r>
    </w:p>
    <w:p w14:paraId="29B3D5D6" w14:textId="77777777" w:rsidR="00D57A46" w:rsidRPr="005A46FC" w:rsidRDefault="00D57A46" w:rsidP="00D57A46">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Женщины репродуктивного возраста должны использовать высокоэффективные методы контрацепции во время приема ленватиниба и в течение одного месяца после прекращения лечения (см. раздел </w:t>
      </w:r>
      <w:r w:rsidR="001F13C2" w:rsidRPr="005A46FC">
        <w:rPr>
          <w:rFonts w:ascii="Times New Roman" w:hAnsi="Times New Roman"/>
          <w:iCs/>
          <w:sz w:val="24"/>
          <w:szCs w:val="24"/>
        </w:rPr>
        <w:t>4.6</w:t>
      </w:r>
      <w:r w:rsidRPr="005A46FC">
        <w:rPr>
          <w:rFonts w:ascii="Times New Roman" w:hAnsi="Times New Roman"/>
          <w:iCs/>
          <w:sz w:val="24"/>
          <w:szCs w:val="24"/>
        </w:rPr>
        <w:t>). В настоящее время неизвестно, увеличивает ли ленватиниб риск тромбоэмболических осложнений при сочетании с пероральными контрацептивами.</w:t>
      </w:r>
    </w:p>
    <w:p w14:paraId="731F2B29" w14:textId="77777777" w:rsidR="001F13C2" w:rsidRPr="005A46FC" w:rsidRDefault="001F13C2" w:rsidP="001F13C2">
      <w:pPr>
        <w:spacing w:after="0" w:line="240" w:lineRule="auto"/>
        <w:jc w:val="both"/>
        <w:rPr>
          <w:rFonts w:ascii="Times New Roman" w:hAnsi="Times New Roman"/>
          <w:i/>
          <w:sz w:val="24"/>
          <w:szCs w:val="24"/>
        </w:rPr>
      </w:pPr>
      <w:r w:rsidRPr="005A46FC">
        <w:rPr>
          <w:rFonts w:ascii="Times New Roman" w:hAnsi="Times New Roman"/>
          <w:i/>
          <w:sz w:val="24"/>
          <w:szCs w:val="24"/>
        </w:rPr>
        <w:t>Кровотечение</w:t>
      </w:r>
    </w:p>
    <w:p w14:paraId="0DC7BB7C" w14:textId="77777777" w:rsidR="001F13C2" w:rsidRPr="005A46FC" w:rsidRDefault="001F13C2" w:rsidP="001F13C2">
      <w:pPr>
        <w:spacing w:after="0" w:line="240" w:lineRule="auto"/>
        <w:jc w:val="both"/>
        <w:rPr>
          <w:rFonts w:ascii="Times New Roman" w:hAnsi="Times New Roman"/>
          <w:iCs/>
          <w:sz w:val="24"/>
          <w:szCs w:val="24"/>
        </w:rPr>
      </w:pPr>
      <w:r w:rsidRPr="005A46FC">
        <w:rPr>
          <w:rFonts w:ascii="Times New Roman" w:hAnsi="Times New Roman"/>
          <w:iCs/>
          <w:sz w:val="24"/>
          <w:szCs w:val="24"/>
        </w:rPr>
        <w:t>Серьезные кровотечения, связанные с опухолью, включая геморрагические события со смертельным исходом, имели место в ходе клинических исследований и были зарегистрированы в пострегистрационный период (см. раздел 4.8). В пострегистрационном наблюдении серьезные и фатальные кровоизлияния в сонные артерии чаще наблюдались у пациентов с анапластической карциномой щитовидной железы (АКЩЖ), чем с ДРЩЖ или другими типами опухолей. Следует учитывать степень инвазии/инфильтрации опухолью крупных кровеносных сосудов (например, сонных артерий) из-за потенциального риска тяжелого кровотечения, связанного со сморщиванием/некрозом опухоли после терапии ленватинибом. Некоторые случаи кровотечения возникали вторично из-за уменьшения опухоли и образования свищей, например, трахеопищеводных свищей. Сообщалось о случаях фатального внутричерепного кровоизлияния у некоторых пациентов с метастазами в головной мозг или без них. Сообщалось также о кровотечениях в других областях, кроме головного мозга (например, в трахее, в абдоминальной области, в легких). Сообщалось об одном смертельном случае кровоизлияния в опухоль печени у пациента с ГЦР.</w:t>
      </w:r>
    </w:p>
    <w:p w14:paraId="427033A0" w14:textId="77777777" w:rsidR="001F13C2" w:rsidRPr="005A46FC" w:rsidRDefault="001F13C2" w:rsidP="001F13C2">
      <w:pPr>
        <w:spacing w:after="0" w:line="240" w:lineRule="auto"/>
        <w:jc w:val="both"/>
        <w:rPr>
          <w:rFonts w:ascii="Times New Roman" w:hAnsi="Times New Roman"/>
          <w:iCs/>
          <w:sz w:val="24"/>
          <w:szCs w:val="24"/>
        </w:rPr>
      </w:pPr>
      <w:r w:rsidRPr="005A46FC">
        <w:rPr>
          <w:rFonts w:ascii="Times New Roman" w:hAnsi="Times New Roman"/>
          <w:iCs/>
          <w:sz w:val="24"/>
          <w:szCs w:val="24"/>
        </w:rPr>
        <w:t>Скрининг и последующее лечение варикозно расширенных вен пищевода у пациентов с циррозом печени следует проводить в соответствии со стандартами медицинской помощи до начала лечения ленватинибом.</w:t>
      </w:r>
    </w:p>
    <w:p w14:paraId="65796813" w14:textId="77777777" w:rsidR="001F13C2" w:rsidRPr="005A46FC" w:rsidRDefault="001F13C2" w:rsidP="001F13C2">
      <w:pPr>
        <w:spacing w:after="0" w:line="240" w:lineRule="auto"/>
        <w:jc w:val="both"/>
        <w:rPr>
          <w:rFonts w:ascii="Times New Roman" w:hAnsi="Times New Roman"/>
          <w:iCs/>
          <w:sz w:val="24"/>
          <w:szCs w:val="24"/>
        </w:rPr>
      </w:pPr>
      <w:r w:rsidRPr="005A46FC">
        <w:rPr>
          <w:rFonts w:ascii="Times New Roman" w:hAnsi="Times New Roman"/>
          <w:iCs/>
          <w:sz w:val="24"/>
          <w:szCs w:val="24"/>
        </w:rPr>
        <w:t>В случае кровотечения может потребоваться прерывание дозы, корректировка или прекращение приема (см. раздел 4.2, таблица 3).</w:t>
      </w:r>
    </w:p>
    <w:p w14:paraId="7D9A90C4" w14:textId="77777777" w:rsidR="001F13C2" w:rsidRPr="005A46FC" w:rsidRDefault="001F13C2" w:rsidP="001F13C2">
      <w:pPr>
        <w:spacing w:after="0" w:line="240" w:lineRule="auto"/>
        <w:jc w:val="both"/>
        <w:rPr>
          <w:rFonts w:ascii="Times New Roman" w:hAnsi="Times New Roman"/>
          <w:i/>
          <w:sz w:val="24"/>
          <w:szCs w:val="24"/>
        </w:rPr>
      </w:pPr>
      <w:r w:rsidRPr="005A46FC">
        <w:rPr>
          <w:rFonts w:ascii="Times New Roman" w:hAnsi="Times New Roman"/>
          <w:i/>
          <w:sz w:val="24"/>
          <w:szCs w:val="24"/>
        </w:rPr>
        <w:t>Перфорация желудочно-кишечного тракта и образование свищей</w:t>
      </w:r>
    </w:p>
    <w:p w14:paraId="2DB0B6AD" w14:textId="77777777" w:rsidR="001F13C2" w:rsidRPr="005A46FC" w:rsidRDefault="001F13C2" w:rsidP="001F13C2">
      <w:pPr>
        <w:spacing w:after="0" w:line="240" w:lineRule="auto"/>
        <w:jc w:val="both"/>
        <w:rPr>
          <w:rFonts w:ascii="Times New Roman" w:hAnsi="Times New Roman"/>
          <w:iCs/>
          <w:sz w:val="24"/>
          <w:szCs w:val="24"/>
        </w:rPr>
      </w:pPr>
      <w:r w:rsidRPr="005A46FC">
        <w:rPr>
          <w:rFonts w:ascii="Times New Roman" w:hAnsi="Times New Roman"/>
          <w:iCs/>
          <w:sz w:val="24"/>
          <w:szCs w:val="24"/>
        </w:rPr>
        <w:t>Сообщалось о желудочно-кишечных перфорациях или свищах у пациентов, получавших ленватиниб (см. раздел 4.8). В большинстве случаев перфорация желудочно-кишечного тракта и свищи возникали у пациентов с факторами риска, такими как предшествующая операция или лучевая терапия. В случае перфорации желудочно-кишечного тракта или свищей может потребоваться прерывание дозы, корректировка или прекращение приема (см. раздел 4.2).</w:t>
      </w:r>
    </w:p>
    <w:p w14:paraId="6F5CCDE8" w14:textId="77777777" w:rsidR="001F13C2" w:rsidRPr="005A46FC" w:rsidRDefault="001F13C2" w:rsidP="001F13C2">
      <w:pPr>
        <w:spacing w:after="0" w:line="240" w:lineRule="auto"/>
        <w:jc w:val="both"/>
        <w:rPr>
          <w:rFonts w:ascii="Times New Roman" w:hAnsi="Times New Roman"/>
          <w:i/>
          <w:sz w:val="24"/>
          <w:szCs w:val="24"/>
        </w:rPr>
      </w:pPr>
      <w:r w:rsidRPr="005A46FC">
        <w:rPr>
          <w:rFonts w:ascii="Times New Roman" w:hAnsi="Times New Roman"/>
          <w:i/>
          <w:sz w:val="24"/>
          <w:szCs w:val="24"/>
        </w:rPr>
        <w:t xml:space="preserve">Свищ не связанный с ЖКТ </w:t>
      </w:r>
    </w:p>
    <w:p w14:paraId="56542CEC" w14:textId="77777777" w:rsidR="001F13C2" w:rsidRPr="005A46FC" w:rsidRDefault="001F13C2" w:rsidP="001F13C2">
      <w:pPr>
        <w:spacing w:after="0" w:line="240" w:lineRule="auto"/>
        <w:jc w:val="both"/>
        <w:rPr>
          <w:rFonts w:ascii="Times New Roman" w:hAnsi="Times New Roman"/>
          <w:iCs/>
          <w:sz w:val="24"/>
          <w:szCs w:val="24"/>
        </w:rPr>
      </w:pPr>
      <w:r w:rsidRPr="005A46FC">
        <w:rPr>
          <w:rFonts w:ascii="Times New Roman" w:hAnsi="Times New Roman"/>
          <w:iCs/>
          <w:sz w:val="24"/>
          <w:szCs w:val="24"/>
        </w:rPr>
        <w:t>Пациенты могут подвергаться повышенному риску развития свищей при лечении ленватинибом. Случаи образования или расширения свищей, которые затрагивают другие области тела, кроме желудка или кишечника, наблюдались в клинических исследованиях и в пострегистрационн</w:t>
      </w:r>
      <w:r w:rsidR="00BD1158" w:rsidRPr="005A46FC">
        <w:rPr>
          <w:rFonts w:ascii="Times New Roman" w:hAnsi="Times New Roman"/>
          <w:iCs/>
          <w:sz w:val="24"/>
          <w:szCs w:val="24"/>
        </w:rPr>
        <w:t>ый</w:t>
      </w:r>
      <w:r w:rsidRPr="005A46FC">
        <w:rPr>
          <w:rFonts w:ascii="Times New Roman" w:hAnsi="Times New Roman"/>
          <w:iCs/>
          <w:sz w:val="24"/>
          <w:szCs w:val="24"/>
        </w:rPr>
        <w:t xml:space="preserve"> </w:t>
      </w:r>
      <w:r w:rsidR="00BD1158" w:rsidRPr="005A46FC">
        <w:rPr>
          <w:rFonts w:ascii="Times New Roman" w:hAnsi="Times New Roman"/>
          <w:iCs/>
          <w:sz w:val="24"/>
          <w:szCs w:val="24"/>
        </w:rPr>
        <w:t>период</w:t>
      </w:r>
      <w:r w:rsidRPr="005A46FC">
        <w:rPr>
          <w:rFonts w:ascii="Times New Roman" w:hAnsi="Times New Roman"/>
          <w:iCs/>
          <w:sz w:val="24"/>
          <w:szCs w:val="24"/>
        </w:rPr>
        <w:t xml:space="preserve"> (например</w:t>
      </w:r>
      <w:r w:rsidR="00BD1158" w:rsidRPr="005A46FC">
        <w:rPr>
          <w:rFonts w:ascii="Times New Roman" w:hAnsi="Times New Roman"/>
          <w:iCs/>
          <w:sz w:val="24"/>
          <w:szCs w:val="24"/>
        </w:rPr>
        <w:t xml:space="preserve">, в область </w:t>
      </w:r>
      <w:r w:rsidRPr="005A46FC">
        <w:rPr>
          <w:rFonts w:ascii="Times New Roman" w:hAnsi="Times New Roman"/>
          <w:iCs/>
          <w:sz w:val="24"/>
          <w:szCs w:val="24"/>
        </w:rPr>
        <w:t>трахе</w:t>
      </w:r>
      <w:r w:rsidR="00BD1158" w:rsidRPr="005A46FC">
        <w:rPr>
          <w:rFonts w:ascii="Times New Roman" w:hAnsi="Times New Roman"/>
          <w:iCs/>
          <w:sz w:val="24"/>
          <w:szCs w:val="24"/>
        </w:rPr>
        <w:t>и</w:t>
      </w:r>
      <w:r w:rsidRPr="005A46FC">
        <w:rPr>
          <w:rFonts w:ascii="Times New Roman" w:hAnsi="Times New Roman"/>
          <w:iCs/>
          <w:sz w:val="24"/>
          <w:szCs w:val="24"/>
        </w:rPr>
        <w:t>, трахеопищеводные, пищеводные, кожные свищи, свищи женских половых путей). Кроме того, сообщалось о пневмотораксе с явными признаками бронхоплеврально</w:t>
      </w:r>
      <w:r w:rsidR="00BD1158" w:rsidRPr="005A46FC">
        <w:rPr>
          <w:rFonts w:ascii="Times New Roman" w:hAnsi="Times New Roman"/>
          <w:iCs/>
          <w:sz w:val="24"/>
          <w:szCs w:val="24"/>
        </w:rPr>
        <w:t>го</w:t>
      </w:r>
      <w:r w:rsidRPr="005A46FC">
        <w:rPr>
          <w:rFonts w:ascii="Times New Roman" w:hAnsi="Times New Roman"/>
          <w:iCs/>
          <w:sz w:val="24"/>
          <w:szCs w:val="24"/>
        </w:rPr>
        <w:t xml:space="preserve"> </w:t>
      </w:r>
      <w:r w:rsidR="00BD1158" w:rsidRPr="005A46FC">
        <w:rPr>
          <w:rFonts w:ascii="Times New Roman" w:hAnsi="Times New Roman"/>
          <w:iCs/>
          <w:sz w:val="24"/>
          <w:szCs w:val="24"/>
        </w:rPr>
        <w:t>свища</w:t>
      </w:r>
      <w:r w:rsidRPr="005A46FC">
        <w:rPr>
          <w:rFonts w:ascii="Times New Roman" w:hAnsi="Times New Roman"/>
          <w:iCs/>
          <w:sz w:val="24"/>
          <w:szCs w:val="24"/>
        </w:rPr>
        <w:t xml:space="preserve"> и без </w:t>
      </w:r>
      <w:r w:rsidR="00BD1158" w:rsidRPr="005A46FC">
        <w:rPr>
          <w:rFonts w:ascii="Times New Roman" w:hAnsi="Times New Roman"/>
          <w:iCs/>
          <w:sz w:val="24"/>
          <w:szCs w:val="24"/>
        </w:rPr>
        <w:t>него</w:t>
      </w:r>
      <w:r w:rsidRPr="005A46FC">
        <w:rPr>
          <w:rFonts w:ascii="Times New Roman" w:hAnsi="Times New Roman"/>
          <w:iCs/>
          <w:sz w:val="24"/>
          <w:szCs w:val="24"/>
        </w:rPr>
        <w:t>. Некоторые сообщения о свищах и пневмотораксе были связаны с регрессией или некрозом опухоли. Факторами риска могут быть предшествующая операция и лучевая терапия. Метастазы в легкие также могут увеличить риск пневмоторакса. Ленватиниб не следует назначать пациентам со свищами во избежание ухудшения состояния, а у пациентов с поражением пищевода или трахеобронхиального тракта и свищами 4-й степени следует окончательно прекратить прием ленватиниба (см. раздел</w:t>
      </w:r>
      <w:r w:rsidR="00BD1158" w:rsidRPr="005A46FC">
        <w:rPr>
          <w:rFonts w:ascii="Times New Roman" w:hAnsi="Times New Roman"/>
          <w:iCs/>
          <w:sz w:val="24"/>
          <w:szCs w:val="24"/>
        </w:rPr>
        <w:t xml:space="preserve"> 4.2</w:t>
      </w:r>
      <w:r w:rsidRPr="005A46FC">
        <w:rPr>
          <w:rFonts w:ascii="Times New Roman" w:hAnsi="Times New Roman"/>
          <w:iCs/>
          <w:sz w:val="24"/>
          <w:szCs w:val="24"/>
        </w:rPr>
        <w:t xml:space="preserve">). Доступна ограниченная информация об использовании прерывания или снижения дозы при лечении других явлений, но в некоторых случаях наблюдалось </w:t>
      </w:r>
      <w:r w:rsidRPr="005A46FC">
        <w:rPr>
          <w:rFonts w:ascii="Times New Roman" w:hAnsi="Times New Roman"/>
          <w:iCs/>
          <w:sz w:val="24"/>
          <w:szCs w:val="24"/>
        </w:rPr>
        <w:lastRenderedPageBreak/>
        <w:t>ухудшение, и следует соблюдать осторожность. Ленватиниб может отрицательно влиять на процесс заживления ран, как и другие препараты того же класса.</w:t>
      </w:r>
    </w:p>
    <w:p w14:paraId="764C4C72" w14:textId="77777777" w:rsidR="00BD1158" w:rsidRPr="005A46FC" w:rsidRDefault="00BD1158" w:rsidP="00BD1158">
      <w:pPr>
        <w:spacing w:after="0" w:line="240" w:lineRule="auto"/>
        <w:jc w:val="both"/>
        <w:rPr>
          <w:rFonts w:ascii="Times New Roman" w:hAnsi="Times New Roman"/>
          <w:i/>
          <w:sz w:val="24"/>
          <w:szCs w:val="24"/>
        </w:rPr>
      </w:pPr>
      <w:r w:rsidRPr="005A46FC">
        <w:rPr>
          <w:rFonts w:ascii="Times New Roman" w:hAnsi="Times New Roman"/>
          <w:i/>
          <w:sz w:val="24"/>
          <w:szCs w:val="24"/>
        </w:rPr>
        <w:t>Удлинение интервала QT</w:t>
      </w:r>
    </w:p>
    <w:p w14:paraId="681DB523" w14:textId="77777777" w:rsidR="00BD1158" w:rsidRPr="005A46FC" w:rsidRDefault="00BD1158" w:rsidP="00BD1158">
      <w:pPr>
        <w:spacing w:after="0" w:line="240" w:lineRule="auto"/>
        <w:jc w:val="both"/>
        <w:rPr>
          <w:rFonts w:ascii="Times New Roman" w:hAnsi="Times New Roman"/>
          <w:iCs/>
          <w:sz w:val="24"/>
          <w:szCs w:val="24"/>
        </w:rPr>
      </w:pPr>
      <w:r w:rsidRPr="005A46FC">
        <w:rPr>
          <w:rFonts w:ascii="Times New Roman" w:hAnsi="Times New Roman"/>
          <w:iCs/>
          <w:sz w:val="24"/>
          <w:szCs w:val="24"/>
        </w:rPr>
        <w:t>Сообщалось о более высокой частоте удлинения интервала QT/QTc у пациентов, получавших ленватиниб, чем у пациентов, получавших плацебо (см. раздел 4.8). Электрокардиограммы следует контролировать на исходном уровне и периодически во время лечения у всех пациентов, уделяя особое внимание пациентам с врожденным синдромом удлиненного интервала QT, застойной сердечной недостаточностью, брадиаритмиями, а также тем, кто принимает лекарственные средства, удлиняющие интервал QT, включая антиаритмические препараты класса Ia и III. Применение ленватиниба следует отменить в случае развития удлинения интервала QT &gt; 500 мс. Прием ленватиниба следует возобновить в сниженной дозе, когда удлинение интервала QTc разрешится до &lt;480 мс или исходного уровня.</w:t>
      </w:r>
    </w:p>
    <w:p w14:paraId="56BAE624" w14:textId="77777777" w:rsidR="00BD1158" w:rsidRPr="005A46FC" w:rsidRDefault="00BD1158" w:rsidP="00BD1158">
      <w:pPr>
        <w:spacing w:after="0" w:line="240" w:lineRule="auto"/>
        <w:jc w:val="both"/>
        <w:rPr>
          <w:rFonts w:ascii="Times New Roman" w:hAnsi="Times New Roman"/>
          <w:iCs/>
          <w:sz w:val="24"/>
          <w:szCs w:val="24"/>
        </w:rPr>
      </w:pPr>
      <w:r w:rsidRPr="005A46FC">
        <w:rPr>
          <w:rFonts w:ascii="Times New Roman" w:hAnsi="Times New Roman"/>
          <w:iCs/>
          <w:sz w:val="24"/>
          <w:szCs w:val="24"/>
        </w:rPr>
        <w:t>Электролитные нарушения, такие как гипокалиемия, гипокальциемия или гипомагниемия, повышают риск удлинения интервала QT; поэтому перед началом лечения у всех пациентов следует контролировать электролитные нарушения и устранять их. Электролиты (магний, калий и кальций) следует периодически контролировать во время лечения. Уровень кальция в крови следует контролировать не реже одного раза в месяц, а кальций следует восполнять при необходимости во время лечения ленватинибом. Прием ленватиниба следует прерывать или при необходимости корректировать дозу в зависимости от тяжести течения, наличия изменений в ЭКГ и стойкости гипокальциемии.</w:t>
      </w:r>
    </w:p>
    <w:p w14:paraId="5B1BD888" w14:textId="77777777" w:rsidR="00BD1158" w:rsidRPr="005A46FC" w:rsidRDefault="00BD1158" w:rsidP="00BD1158">
      <w:pPr>
        <w:spacing w:after="0" w:line="240" w:lineRule="auto"/>
        <w:jc w:val="both"/>
        <w:rPr>
          <w:rFonts w:ascii="Times New Roman" w:hAnsi="Times New Roman"/>
          <w:i/>
          <w:sz w:val="24"/>
          <w:szCs w:val="24"/>
        </w:rPr>
      </w:pPr>
      <w:r w:rsidRPr="005A46FC">
        <w:rPr>
          <w:rFonts w:ascii="Times New Roman" w:hAnsi="Times New Roman"/>
          <w:i/>
          <w:sz w:val="24"/>
          <w:szCs w:val="24"/>
        </w:rPr>
        <w:t>Нарушение подавления тиреотропного гормона/дисфункция щитовидной железы</w:t>
      </w:r>
    </w:p>
    <w:p w14:paraId="564EB0FF" w14:textId="77777777" w:rsidR="00BD1158" w:rsidRPr="005A46FC" w:rsidRDefault="00BD1158" w:rsidP="00BD1158">
      <w:pPr>
        <w:spacing w:after="0" w:line="240" w:lineRule="auto"/>
        <w:jc w:val="both"/>
        <w:rPr>
          <w:rFonts w:ascii="Times New Roman" w:hAnsi="Times New Roman"/>
          <w:iCs/>
          <w:sz w:val="24"/>
          <w:szCs w:val="24"/>
        </w:rPr>
      </w:pPr>
      <w:r w:rsidRPr="005A46FC">
        <w:rPr>
          <w:rFonts w:ascii="Times New Roman" w:hAnsi="Times New Roman"/>
          <w:iCs/>
          <w:sz w:val="24"/>
          <w:szCs w:val="24"/>
        </w:rPr>
        <w:t>Сообщалось о гипотиреозе у пациентов, получавших ленватиниб (см. раздел 4.8). Перед началом и периодически на протяжении всего лечения ленватинибом следует контролировать функцию щитовидной железы. Гипотиреоз следует лечить в соответствии со стандартной медицинской практикой для поддержания эутиреоидного состояния.</w:t>
      </w:r>
    </w:p>
    <w:p w14:paraId="23E90D71" w14:textId="77777777" w:rsidR="005912A8" w:rsidRPr="005A46FC" w:rsidRDefault="005912A8" w:rsidP="00BD1158">
      <w:pPr>
        <w:spacing w:after="0" w:line="240" w:lineRule="auto"/>
        <w:jc w:val="both"/>
        <w:rPr>
          <w:rFonts w:ascii="Times New Roman" w:hAnsi="Times New Roman"/>
          <w:iCs/>
          <w:sz w:val="24"/>
          <w:szCs w:val="24"/>
        </w:rPr>
      </w:pPr>
      <w:r w:rsidRPr="005A46FC">
        <w:rPr>
          <w:rFonts w:ascii="Times New Roman" w:hAnsi="Times New Roman"/>
          <w:iCs/>
          <w:sz w:val="24"/>
          <w:szCs w:val="24"/>
        </w:rPr>
        <w:t>Ленватиниб нарушает экзогенную супрессию щитовидной железы (см. раздел 4.8). Уровни тиреотропного гормона (ТТГ) следует контролировать на регулярной основе, а введение гормонов щитовидной железы следует корректировать для достижения соответствующих уровней ТТГ в соответствии с терапевтической целью пациента.</w:t>
      </w:r>
    </w:p>
    <w:p w14:paraId="3EB5639F" w14:textId="77777777" w:rsidR="005912A8" w:rsidRPr="005A46FC" w:rsidRDefault="005912A8" w:rsidP="005912A8">
      <w:pPr>
        <w:spacing w:after="0" w:line="240" w:lineRule="auto"/>
        <w:jc w:val="both"/>
        <w:rPr>
          <w:rFonts w:ascii="Times New Roman" w:hAnsi="Times New Roman"/>
          <w:i/>
          <w:sz w:val="24"/>
          <w:szCs w:val="24"/>
        </w:rPr>
      </w:pPr>
      <w:r w:rsidRPr="005A46FC">
        <w:rPr>
          <w:rFonts w:ascii="Times New Roman" w:hAnsi="Times New Roman"/>
          <w:i/>
          <w:sz w:val="24"/>
          <w:szCs w:val="24"/>
        </w:rPr>
        <w:t>Осложнения заживления ран</w:t>
      </w:r>
    </w:p>
    <w:p w14:paraId="4FBB8DBF" w14:textId="77777777" w:rsidR="005912A8" w:rsidRPr="005A46FC" w:rsidRDefault="005912A8" w:rsidP="005912A8">
      <w:pPr>
        <w:spacing w:after="0" w:line="240" w:lineRule="auto"/>
        <w:jc w:val="both"/>
        <w:rPr>
          <w:rFonts w:ascii="Times New Roman" w:hAnsi="Times New Roman"/>
          <w:iCs/>
          <w:sz w:val="24"/>
          <w:szCs w:val="24"/>
        </w:rPr>
      </w:pPr>
      <w:r w:rsidRPr="005A46FC">
        <w:rPr>
          <w:rFonts w:ascii="Times New Roman" w:hAnsi="Times New Roman"/>
          <w:iCs/>
          <w:sz w:val="24"/>
          <w:szCs w:val="24"/>
        </w:rPr>
        <w:t>Официальных исследований влияния ленватиниба на заживление ран не проводилось. Сообщалось о нарушении заживления ран у пациентов, получавших ленватиниб. Следует рассмотреть вопрос о временном прекращении приема ленватиниба у пациентов, которым предстоит серьезное хирургическое вмешательство. Клинический опыт относительно сроков возобновления лечения ленватинибом после крупного хирургического вмешательства ограничен. Таким образом, решение о возобновлении приема ленватиниба после крупного хирургического вмешательства должно основываться на клинической оценке адекватного заживления раны.</w:t>
      </w:r>
    </w:p>
    <w:p w14:paraId="6939C10F" w14:textId="77777777" w:rsidR="00F163A5" w:rsidRPr="005A46FC" w:rsidRDefault="00F163A5" w:rsidP="00F163A5">
      <w:pPr>
        <w:spacing w:after="0" w:line="240" w:lineRule="auto"/>
        <w:jc w:val="both"/>
        <w:rPr>
          <w:rFonts w:ascii="Times New Roman" w:hAnsi="Times New Roman"/>
          <w:i/>
          <w:sz w:val="24"/>
          <w:szCs w:val="24"/>
        </w:rPr>
      </w:pPr>
      <w:r w:rsidRPr="005A46FC">
        <w:rPr>
          <w:rFonts w:ascii="Times New Roman" w:hAnsi="Times New Roman"/>
          <w:i/>
          <w:sz w:val="24"/>
          <w:szCs w:val="24"/>
        </w:rPr>
        <w:t>Остеонекроз челюсти (ОНЧ)</w:t>
      </w:r>
    </w:p>
    <w:p w14:paraId="67B05322" w14:textId="77777777" w:rsidR="00F163A5" w:rsidRPr="005A46FC" w:rsidRDefault="00F163A5" w:rsidP="00F163A5">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Сообщалось о случаях остеонекроза челюсти у пациентов, получавших ленватиниб. Сообщалось о некоторых случаях у пациентов, получавших предшествующее или сопутствующее лечение антирезорбтивной костной терапией и/или другими ингибиторами ангиогенеза, т.е. бевацизумаб, </w:t>
      </w:r>
      <w:r w:rsidR="00964486" w:rsidRPr="005A46FC">
        <w:rPr>
          <w:rFonts w:ascii="Times New Roman" w:hAnsi="Times New Roman"/>
          <w:iCs/>
          <w:sz w:val="24"/>
          <w:szCs w:val="24"/>
        </w:rPr>
        <w:t>ингибиторы тирозинкиназы</w:t>
      </w:r>
      <w:r w:rsidRPr="005A46FC">
        <w:rPr>
          <w:rFonts w:ascii="Times New Roman" w:hAnsi="Times New Roman"/>
          <w:iCs/>
          <w:sz w:val="24"/>
          <w:szCs w:val="24"/>
        </w:rPr>
        <w:t xml:space="preserve">, ингибиторы </w:t>
      </w:r>
      <w:r w:rsidRPr="005A46FC">
        <w:rPr>
          <w:rFonts w:ascii="Times New Roman" w:hAnsi="Times New Roman"/>
          <w:iCs/>
          <w:sz w:val="24"/>
          <w:szCs w:val="24"/>
          <w:lang w:val="en-US"/>
        </w:rPr>
        <w:t>mTOR</w:t>
      </w:r>
      <w:r w:rsidRPr="005A46FC">
        <w:rPr>
          <w:rFonts w:ascii="Times New Roman" w:hAnsi="Times New Roman"/>
          <w:iCs/>
          <w:sz w:val="24"/>
          <w:szCs w:val="24"/>
        </w:rPr>
        <w:t>. Поэтому следует соблюдать осторожность при одновременном или последовательном применении ленватиниба с антирезорбтивной терапией и/или другими ингибиторами ангиогенеза.</w:t>
      </w:r>
    </w:p>
    <w:p w14:paraId="727234C3" w14:textId="77777777" w:rsidR="00F163A5" w:rsidRPr="005A46FC" w:rsidRDefault="00F163A5" w:rsidP="00F163A5">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Инвазивные стоматологические процедуры являются выявленным фактором риска. Перед началом лечения ленватинибом следует рассмотреть возможность стоматологического осмотра и соответствующей профилактической стоматологической </w:t>
      </w:r>
      <w:r w:rsidRPr="005A46FC">
        <w:rPr>
          <w:rFonts w:ascii="Times New Roman" w:hAnsi="Times New Roman"/>
          <w:iCs/>
          <w:sz w:val="24"/>
          <w:szCs w:val="24"/>
        </w:rPr>
        <w:lastRenderedPageBreak/>
        <w:t>помощи. У пациентов, которые ранее получали или получают внутривенные бисфосфонаты, следует по возможности избегать инвазивных стоматологических процедур (см. раздел 4.8).</w:t>
      </w:r>
    </w:p>
    <w:p w14:paraId="225F0EE2" w14:textId="77777777" w:rsidR="00964486" w:rsidRPr="005A46FC" w:rsidRDefault="00964486" w:rsidP="00964486">
      <w:pPr>
        <w:spacing w:after="0" w:line="240" w:lineRule="auto"/>
        <w:jc w:val="both"/>
        <w:rPr>
          <w:rFonts w:ascii="Times New Roman" w:hAnsi="Times New Roman"/>
          <w:i/>
          <w:sz w:val="24"/>
          <w:szCs w:val="24"/>
        </w:rPr>
      </w:pPr>
      <w:r w:rsidRPr="005A46FC">
        <w:rPr>
          <w:rFonts w:ascii="Times New Roman" w:hAnsi="Times New Roman"/>
          <w:i/>
          <w:sz w:val="24"/>
          <w:szCs w:val="24"/>
        </w:rPr>
        <w:t>Особые группы населения</w:t>
      </w:r>
    </w:p>
    <w:p w14:paraId="33CAB943" w14:textId="77777777" w:rsidR="00964486" w:rsidRPr="005A46FC" w:rsidRDefault="00964486" w:rsidP="00964486">
      <w:pPr>
        <w:spacing w:after="0" w:line="240" w:lineRule="auto"/>
        <w:jc w:val="both"/>
        <w:rPr>
          <w:rFonts w:ascii="Times New Roman" w:hAnsi="Times New Roman"/>
          <w:iCs/>
          <w:sz w:val="24"/>
          <w:szCs w:val="24"/>
        </w:rPr>
      </w:pPr>
      <w:r w:rsidRPr="005A46FC">
        <w:rPr>
          <w:rFonts w:ascii="Times New Roman" w:hAnsi="Times New Roman"/>
          <w:iCs/>
          <w:sz w:val="24"/>
          <w:szCs w:val="24"/>
        </w:rPr>
        <w:t>Имеются ограниченные данные пациентов этнического происхождения, кроме европеоидной или азиатской расы, а также пациентов в возрасте ≥75 лет. Ленватиниб следует применять с осторожностью у данных групп пациентов, учитывая сниженную переносимость ленватиниба у азиатов и пациентов пожилого возраста (см. раздел 4.8).</w:t>
      </w:r>
    </w:p>
    <w:p w14:paraId="03320BEC" w14:textId="77777777" w:rsidR="00964486" w:rsidRPr="005A46FC" w:rsidRDefault="00964486" w:rsidP="00964486">
      <w:pPr>
        <w:spacing w:after="0" w:line="240" w:lineRule="auto"/>
        <w:jc w:val="both"/>
        <w:rPr>
          <w:rFonts w:ascii="Times New Roman" w:hAnsi="Times New Roman"/>
          <w:iCs/>
          <w:sz w:val="24"/>
          <w:szCs w:val="24"/>
        </w:rPr>
      </w:pPr>
      <w:r w:rsidRPr="005A46FC">
        <w:rPr>
          <w:rFonts w:ascii="Times New Roman" w:hAnsi="Times New Roman"/>
          <w:iCs/>
          <w:sz w:val="24"/>
          <w:szCs w:val="24"/>
        </w:rPr>
        <w:t>Нет данных о применении ленватиниба сразу после сорафениба или других противоопухолевых препаратов, и может существовать потенциальный риск аддитивной токсичности, если между курсами лечения не будет адекватного периода вымывания. Минимальный период вымывания в клинических исследованиях составлял 4 недели.</w:t>
      </w:r>
    </w:p>
    <w:p w14:paraId="32000246" w14:textId="77777777" w:rsidR="00964486" w:rsidRPr="005A46FC" w:rsidRDefault="00964486" w:rsidP="00964486">
      <w:pPr>
        <w:spacing w:after="0" w:line="240" w:lineRule="auto"/>
        <w:jc w:val="both"/>
        <w:rPr>
          <w:rFonts w:ascii="Times New Roman" w:hAnsi="Times New Roman"/>
          <w:iCs/>
          <w:sz w:val="24"/>
          <w:szCs w:val="24"/>
        </w:rPr>
      </w:pPr>
      <w:r w:rsidRPr="005A46FC">
        <w:rPr>
          <w:rFonts w:ascii="Times New Roman" w:hAnsi="Times New Roman"/>
          <w:iCs/>
          <w:sz w:val="24"/>
          <w:szCs w:val="24"/>
        </w:rPr>
        <w:t>Пациенты с ECOG PS</w:t>
      </w:r>
      <w:r w:rsidR="00030640" w:rsidRPr="005A46FC">
        <w:rPr>
          <w:rFonts w:ascii="Times New Roman" w:hAnsi="Times New Roman"/>
          <w:iCs/>
          <w:sz w:val="24"/>
          <w:szCs w:val="24"/>
        </w:rPr>
        <w:t xml:space="preserve"> (шкала оценки общего состояния онкологического больного) </w:t>
      </w:r>
      <w:r w:rsidRPr="005A46FC">
        <w:rPr>
          <w:rFonts w:ascii="Times New Roman" w:hAnsi="Times New Roman"/>
          <w:iCs/>
          <w:sz w:val="24"/>
          <w:szCs w:val="24"/>
        </w:rPr>
        <w:t xml:space="preserve">≥ 2 были исключены из клинических исследований (за исключением </w:t>
      </w:r>
      <w:r w:rsidR="00030640" w:rsidRPr="005A46FC">
        <w:rPr>
          <w:rFonts w:ascii="Times New Roman" w:hAnsi="Times New Roman"/>
          <w:iCs/>
          <w:sz w:val="24"/>
          <w:szCs w:val="24"/>
        </w:rPr>
        <w:t>пациентов с раком</w:t>
      </w:r>
      <w:r w:rsidRPr="005A46FC">
        <w:rPr>
          <w:rFonts w:ascii="Times New Roman" w:hAnsi="Times New Roman"/>
          <w:iCs/>
          <w:sz w:val="24"/>
          <w:szCs w:val="24"/>
        </w:rPr>
        <w:t xml:space="preserve"> щитовидной железы).</w:t>
      </w:r>
    </w:p>
    <w:p w14:paraId="45641159" w14:textId="77777777" w:rsidR="00FC5186" w:rsidRPr="005A46FC" w:rsidRDefault="00FC5186" w:rsidP="0078568D">
      <w:pPr>
        <w:spacing w:after="0" w:line="240" w:lineRule="auto"/>
        <w:jc w:val="both"/>
        <w:rPr>
          <w:rFonts w:ascii="Times New Roman" w:eastAsia="Times New Roman" w:hAnsi="Times New Roman"/>
          <w:b/>
          <w:iCs/>
          <w:sz w:val="24"/>
          <w:szCs w:val="24"/>
          <w:lang w:eastAsia="ru-RU"/>
        </w:rPr>
      </w:pPr>
    </w:p>
    <w:p w14:paraId="2AFA4C9D" w14:textId="77777777" w:rsidR="007D0E84" w:rsidRPr="005A46FC" w:rsidRDefault="00DB406A"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4.</w:t>
      </w:r>
      <w:r w:rsidR="00B05BD1" w:rsidRPr="005A46FC">
        <w:rPr>
          <w:rFonts w:ascii="Times New Roman" w:eastAsia="Times New Roman" w:hAnsi="Times New Roman"/>
          <w:b/>
          <w:sz w:val="24"/>
          <w:szCs w:val="24"/>
          <w:lang w:eastAsia="ru-RU"/>
        </w:rPr>
        <w:t>5</w:t>
      </w:r>
      <w:r w:rsidRPr="005A46FC">
        <w:rPr>
          <w:rFonts w:ascii="Times New Roman" w:eastAsia="Times New Roman" w:hAnsi="Times New Roman"/>
          <w:b/>
          <w:sz w:val="24"/>
          <w:szCs w:val="24"/>
          <w:lang w:eastAsia="ru-RU"/>
        </w:rPr>
        <w:t xml:space="preserve"> </w:t>
      </w:r>
      <w:r w:rsidR="007D0E84" w:rsidRPr="005A46FC">
        <w:rPr>
          <w:rFonts w:ascii="Times New Roman" w:eastAsia="Times New Roman" w:hAnsi="Times New Roman"/>
          <w:b/>
          <w:sz w:val="24"/>
          <w:szCs w:val="24"/>
          <w:lang w:eastAsia="ru-RU"/>
        </w:rPr>
        <w:t>Взаимодействия с другими лекарственными препаратами</w:t>
      </w:r>
      <w:r w:rsidR="005D66F3" w:rsidRPr="005A46FC">
        <w:rPr>
          <w:rFonts w:ascii="Times New Roman" w:eastAsia="Times New Roman" w:hAnsi="Times New Roman"/>
          <w:b/>
          <w:sz w:val="24"/>
          <w:szCs w:val="24"/>
          <w:lang w:eastAsia="ru-RU"/>
        </w:rPr>
        <w:t xml:space="preserve"> и другие виды взаимодействия</w:t>
      </w:r>
    </w:p>
    <w:p w14:paraId="5F59EF3C" w14:textId="77777777" w:rsidR="00030640" w:rsidRPr="005A46FC" w:rsidRDefault="00030640" w:rsidP="00030640">
      <w:pPr>
        <w:spacing w:after="0" w:line="240" w:lineRule="auto"/>
        <w:jc w:val="both"/>
        <w:rPr>
          <w:rFonts w:ascii="Times New Roman" w:hAnsi="Times New Roman"/>
          <w:i/>
          <w:iCs/>
          <w:color w:val="000000"/>
          <w:sz w:val="24"/>
          <w:szCs w:val="24"/>
          <w:u w:val="single"/>
        </w:rPr>
      </w:pPr>
      <w:r w:rsidRPr="005A46FC">
        <w:rPr>
          <w:rFonts w:ascii="Times New Roman" w:hAnsi="Times New Roman"/>
          <w:i/>
          <w:iCs/>
          <w:color w:val="000000"/>
          <w:sz w:val="24"/>
          <w:szCs w:val="24"/>
          <w:u w:val="single"/>
        </w:rPr>
        <w:t>Влияние других лекарственных средств на ленватиниб</w:t>
      </w:r>
    </w:p>
    <w:p w14:paraId="183BC696" w14:textId="77777777" w:rsidR="00030640" w:rsidRPr="005A46FC" w:rsidRDefault="00030640" w:rsidP="00030640">
      <w:pPr>
        <w:spacing w:after="0" w:line="240" w:lineRule="auto"/>
        <w:jc w:val="both"/>
        <w:rPr>
          <w:rFonts w:ascii="Times New Roman" w:hAnsi="Times New Roman"/>
          <w:i/>
          <w:iCs/>
          <w:color w:val="000000"/>
          <w:sz w:val="24"/>
          <w:szCs w:val="24"/>
        </w:rPr>
      </w:pPr>
      <w:r w:rsidRPr="005A46FC">
        <w:rPr>
          <w:rFonts w:ascii="Times New Roman" w:hAnsi="Times New Roman"/>
          <w:i/>
          <w:iCs/>
          <w:color w:val="000000"/>
          <w:sz w:val="24"/>
          <w:szCs w:val="24"/>
        </w:rPr>
        <w:t>Химиотерапевтические агенты</w:t>
      </w:r>
    </w:p>
    <w:p w14:paraId="483E30A6" w14:textId="77777777" w:rsidR="00030640" w:rsidRPr="005A46FC" w:rsidRDefault="00030640" w:rsidP="00030640">
      <w:pPr>
        <w:spacing w:after="0" w:line="240" w:lineRule="auto"/>
        <w:jc w:val="both"/>
        <w:rPr>
          <w:rFonts w:ascii="Times New Roman" w:hAnsi="Times New Roman"/>
          <w:color w:val="000000"/>
          <w:sz w:val="24"/>
          <w:szCs w:val="24"/>
        </w:rPr>
      </w:pPr>
      <w:r w:rsidRPr="005A46FC">
        <w:rPr>
          <w:rFonts w:ascii="Times New Roman" w:hAnsi="Times New Roman"/>
          <w:color w:val="000000"/>
          <w:sz w:val="24"/>
          <w:szCs w:val="24"/>
        </w:rPr>
        <w:t>Одновременное применение ленватиниба, карбоплатина и паклитаксела не оказывает существенного влияния на фармакокинетику любого из этих трех агентов.</w:t>
      </w:r>
    </w:p>
    <w:p w14:paraId="14DD2713" w14:textId="77777777" w:rsidR="00030640" w:rsidRPr="005A46FC" w:rsidRDefault="00030640" w:rsidP="00030640">
      <w:pPr>
        <w:spacing w:after="0" w:line="240" w:lineRule="auto"/>
        <w:jc w:val="both"/>
        <w:rPr>
          <w:rFonts w:ascii="Times New Roman" w:hAnsi="Times New Roman"/>
          <w:i/>
          <w:iCs/>
          <w:color w:val="000000"/>
          <w:sz w:val="24"/>
          <w:szCs w:val="24"/>
          <w:u w:val="single"/>
        </w:rPr>
      </w:pPr>
      <w:r w:rsidRPr="005A46FC">
        <w:rPr>
          <w:rFonts w:ascii="Times New Roman" w:hAnsi="Times New Roman"/>
          <w:i/>
          <w:iCs/>
          <w:color w:val="000000"/>
          <w:sz w:val="24"/>
          <w:szCs w:val="24"/>
          <w:u w:val="single"/>
        </w:rPr>
        <w:t>Влияние ленватиниба на другие лекарственные средства</w:t>
      </w:r>
    </w:p>
    <w:p w14:paraId="0330C46B" w14:textId="77777777" w:rsidR="00030640" w:rsidRPr="005A46FC" w:rsidRDefault="00030640" w:rsidP="00030640">
      <w:pPr>
        <w:spacing w:after="0" w:line="240" w:lineRule="auto"/>
        <w:jc w:val="both"/>
        <w:rPr>
          <w:rFonts w:ascii="Times New Roman" w:hAnsi="Times New Roman"/>
          <w:color w:val="000000"/>
          <w:sz w:val="24"/>
          <w:szCs w:val="24"/>
        </w:rPr>
      </w:pPr>
      <w:r w:rsidRPr="005A46FC">
        <w:rPr>
          <w:rFonts w:ascii="Times New Roman" w:hAnsi="Times New Roman"/>
          <w:color w:val="000000"/>
          <w:sz w:val="24"/>
          <w:szCs w:val="24"/>
        </w:rPr>
        <w:t>Клиническое исследование лекарственного взаимодействия у онкологических больных показало, что концентрации мидазолама в плазме (чувствительный субстрат CYP3A и Pgp) не изменялись в присутствии ленватиниба. Поэтому не ожидается значительного межлекарственного взаимодействия между ленватинибом и другими субстратами CYP3A4/Pgp.</w:t>
      </w:r>
    </w:p>
    <w:p w14:paraId="00EBFF69" w14:textId="77777777" w:rsidR="00030640" w:rsidRPr="005A46FC" w:rsidRDefault="00030640" w:rsidP="00030640">
      <w:pPr>
        <w:spacing w:after="0" w:line="240" w:lineRule="auto"/>
        <w:jc w:val="both"/>
        <w:rPr>
          <w:rFonts w:ascii="Times New Roman" w:hAnsi="Times New Roman"/>
          <w:i/>
          <w:iCs/>
          <w:color w:val="000000"/>
          <w:sz w:val="24"/>
          <w:szCs w:val="24"/>
          <w:u w:val="single"/>
        </w:rPr>
      </w:pPr>
      <w:r w:rsidRPr="005A46FC">
        <w:rPr>
          <w:rFonts w:ascii="Times New Roman" w:hAnsi="Times New Roman"/>
          <w:i/>
          <w:iCs/>
          <w:color w:val="000000"/>
          <w:sz w:val="24"/>
          <w:szCs w:val="24"/>
          <w:u w:val="single"/>
        </w:rPr>
        <w:t>Оральные контрацептивы</w:t>
      </w:r>
    </w:p>
    <w:p w14:paraId="78B21E02" w14:textId="77777777" w:rsidR="00CE7F7F" w:rsidRPr="005A46FC" w:rsidRDefault="00030640" w:rsidP="00030640">
      <w:pPr>
        <w:spacing w:after="0" w:line="240" w:lineRule="auto"/>
        <w:jc w:val="both"/>
        <w:rPr>
          <w:rFonts w:ascii="Times New Roman" w:hAnsi="Times New Roman"/>
          <w:color w:val="000000"/>
          <w:sz w:val="24"/>
          <w:szCs w:val="24"/>
        </w:rPr>
      </w:pPr>
      <w:r w:rsidRPr="005A46FC">
        <w:rPr>
          <w:rFonts w:ascii="Times New Roman" w:hAnsi="Times New Roman"/>
          <w:color w:val="000000"/>
          <w:sz w:val="24"/>
          <w:szCs w:val="24"/>
        </w:rPr>
        <w:t>В настоящее время неизвестно, может ли ленватиниб снижать эффективность гормональных контрацептивов, следовательно женщинам, использующим пероральные гормональные контрацептивы, следует добавить барьерный метод (см. раздел 4.6).</w:t>
      </w:r>
    </w:p>
    <w:p w14:paraId="643632C5" w14:textId="77777777" w:rsidR="00030640" w:rsidRPr="005A46FC" w:rsidRDefault="00030640" w:rsidP="00030640">
      <w:pPr>
        <w:spacing w:after="0" w:line="240" w:lineRule="auto"/>
        <w:jc w:val="both"/>
        <w:rPr>
          <w:rFonts w:ascii="Times New Roman" w:eastAsia="Times New Roman" w:hAnsi="Times New Roman"/>
          <w:b/>
          <w:sz w:val="24"/>
          <w:szCs w:val="24"/>
          <w:lang w:eastAsia="ru-RU"/>
        </w:rPr>
      </w:pPr>
    </w:p>
    <w:p w14:paraId="0E46ACED" w14:textId="77777777" w:rsidR="00B05BD1" w:rsidRPr="005A46FC" w:rsidRDefault="00B05BD1"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 xml:space="preserve">4.6 </w:t>
      </w:r>
      <w:r w:rsidRPr="005A46FC">
        <w:rPr>
          <w:rFonts w:ascii="Times New Roman" w:eastAsia="Times New Roman" w:hAnsi="Times New Roman" w:hint="eastAsia"/>
          <w:b/>
          <w:sz w:val="24"/>
          <w:szCs w:val="24"/>
          <w:lang w:eastAsia="ru-RU"/>
        </w:rPr>
        <w:t>Фертильность</w:t>
      </w:r>
      <w:r w:rsidRPr="005A46FC">
        <w:rPr>
          <w:rFonts w:ascii="Times New Roman" w:eastAsia="Times New Roman" w:hAnsi="Times New Roman"/>
          <w:b/>
          <w:sz w:val="24"/>
          <w:szCs w:val="24"/>
          <w:lang w:eastAsia="ru-RU"/>
        </w:rPr>
        <w:t xml:space="preserve">, </w:t>
      </w:r>
      <w:r w:rsidRPr="005A46FC">
        <w:rPr>
          <w:rFonts w:ascii="Times New Roman" w:eastAsia="Times New Roman" w:hAnsi="Times New Roman" w:hint="eastAsia"/>
          <w:b/>
          <w:sz w:val="24"/>
          <w:szCs w:val="24"/>
          <w:lang w:eastAsia="ru-RU"/>
        </w:rPr>
        <w:t>беременность</w:t>
      </w:r>
      <w:r w:rsidRPr="005A46FC">
        <w:rPr>
          <w:rFonts w:ascii="Times New Roman" w:eastAsia="Times New Roman" w:hAnsi="Times New Roman"/>
          <w:b/>
          <w:sz w:val="24"/>
          <w:szCs w:val="24"/>
          <w:lang w:eastAsia="ru-RU"/>
        </w:rPr>
        <w:t xml:space="preserve"> </w:t>
      </w:r>
      <w:r w:rsidRPr="005A46FC">
        <w:rPr>
          <w:rFonts w:ascii="Times New Roman" w:eastAsia="Times New Roman" w:hAnsi="Times New Roman" w:hint="eastAsia"/>
          <w:b/>
          <w:sz w:val="24"/>
          <w:szCs w:val="24"/>
          <w:lang w:eastAsia="ru-RU"/>
        </w:rPr>
        <w:t>и</w:t>
      </w:r>
      <w:r w:rsidRPr="005A46FC">
        <w:rPr>
          <w:rFonts w:ascii="Times New Roman" w:eastAsia="Times New Roman" w:hAnsi="Times New Roman"/>
          <w:b/>
          <w:sz w:val="24"/>
          <w:szCs w:val="24"/>
          <w:lang w:eastAsia="ru-RU"/>
        </w:rPr>
        <w:t xml:space="preserve"> </w:t>
      </w:r>
      <w:r w:rsidRPr="005A46FC">
        <w:rPr>
          <w:rFonts w:ascii="Times New Roman" w:eastAsia="Times New Roman" w:hAnsi="Times New Roman" w:hint="eastAsia"/>
          <w:b/>
          <w:sz w:val="24"/>
          <w:szCs w:val="24"/>
          <w:lang w:eastAsia="ru-RU"/>
        </w:rPr>
        <w:t>лактация</w:t>
      </w:r>
    </w:p>
    <w:p w14:paraId="4864AF27" w14:textId="77777777" w:rsidR="00030640" w:rsidRPr="005A46FC" w:rsidRDefault="00030640" w:rsidP="00030640">
      <w:pPr>
        <w:spacing w:after="0" w:line="240" w:lineRule="auto"/>
        <w:jc w:val="both"/>
        <w:rPr>
          <w:rFonts w:ascii="Times New Roman" w:hAnsi="Times New Roman"/>
          <w:i/>
          <w:color w:val="000000"/>
          <w:sz w:val="24"/>
          <w:szCs w:val="24"/>
        </w:rPr>
      </w:pPr>
      <w:r w:rsidRPr="005A46FC">
        <w:rPr>
          <w:rFonts w:ascii="Times New Roman" w:hAnsi="Times New Roman"/>
          <w:i/>
          <w:color w:val="000000"/>
          <w:sz w:val="24"/>
          <w:szCs w:val="24"/>
        </w:rPr>
        <w:t>Женщины репродуктивного возраста</w:t>
      </w:r>
    </w:p>
    <w:p w14:paraId="59A047B4" w14:textId="77777777" w:rsidR="00030640" w:rsidRPr="005A46FC" w:rsidRDefault="00030640" w:rsidP="00030640">
      <w:pPr>
        <w:spacing w:after="0" w:line="240" w:lineRule="auto"/>
        <w:jc w:val="both"/>
        <w:rPr>
          <w:rFonts w:ascii="Times New Roman" w:hAnsi="Times New Roman"/>
          <w:iCs/>
          <w:color w:val="000000"/>
          <w:sz w:val="24"/>
          <w:szCs w:val="24"/>
        </w:rPr>
      </w:pPr>
      <w:r w:rsidRPr="005A46FC">
        <w:rPr>
          <w:rFonts w:ascii="Times New Roman" w:hAnsi="Times New Roman"/>
          <w:iCs/>
          <w:color w:val="000000"/>
          <w:sz w:val="24"/>
          <w:szCs w:val="24"/>
        </w:rPr>
        <w:t>Женщины репродуктивного возраста должны избегать наступления беременности и применять высокоэффективные методы контрацепции во время лечения ленватинибом и в течение как минимум одного месяца после окончания лечения. В настоящее время неизвестно, может ли ленватиниб снижать эффективность гормональных контрацептивов, поэтому женщинам, использующим пероральные гормональные контрацептивы, следует добавить барьерный метод.</w:t>
      </w:r>
    </w:p>
    <w:p w14:paraId="74EBAABD" w14:textId="77777777" w:rsidR="00B05BD1" w:rsidRPr="005A46FC" w:rsidRDefault="00B05BD1" w:rsidP="0078568D">
      <w:pPr>
        <w:spacing w:after="0" w:line="240" w:lineRule="auto"/>
        <w:jc w:val="both"/>
        <w:rPr>
          <w:rFonts w:ascii="Times New Roman" w:hAnsi="Times New Roman"/>
          <w:i/>
          <w:color w:val="000000"/>
          <w:sz w:val="24"/>
          <w:szCs w:val="24"/>
        </w:rPr>
      </w:pPr>
      <w:r w:rsidRPr="005A46FC">
        <w:rPr>
          <w:rFonts w:ascii="Times New Roman" w:hAnsi="Times New Roman"/>
          <w:i/>
          <w:color w:val="000000"/>
          <w:sz w:val="24"/>
          <w:szCs w:val="24"/>
        </w:rPr>
        <w:t>Беременность</w:t>
      </w:r>
    </w:p>
    <w:p w14:paraId="10021983" w14:textId="77777777" w:rsidR="00030640" w:rsidRPr="005A46FC" w:rsidRDefault="00030640" w:rsidP="00030640">
      <w:pPr>
        <w:spacing w:after="0" w:line="240" w:lineRule="auto"/>
        <w:jc w:val="both"/>
        <w:rPr>
          <w:rFonts w:ascii="Times New Roman" w:hAnsi="Times New Roman"/>
          <w:iCs/>
          <w:color w:val="000000"/>
          <w:sz w:val="24"/>
          <w:szCs w:val="24"/>
        </w:rPr>
      </w:pPr>
      <w:r w:rsidRPr="005A46FC">
        <w:rPr>
          <w:rFonts w:ascii="Times New Roman" w:hAnsi="Times New Roman"/>
          <w:iCs/>
          <w:color w:val="000000"/>
          <w:sz w:val="24"/>
          <w:szCs w:val="24"/>
        </w:rPr>
        <w:t xml:space="preserve">Данных о применении ленватиниба беременными женщинами нет. Ленватиниб </w:t>
      </w:r>
      <w:r w:rsidR="00905AEA" w:rsidRPr="005A46FC">
        <w:rPr>
          <w:rFonts w:ascii="Times New Roman" w:hAnsi="Times New Roman"/>
          <w:iCs/>
          <w:color w:val="000000"/>
          <w:sz w:val="24"/>
          <w:szCs w:val="24"/>
        </w:rPr>
        <w:t>оказывал</w:t>
      </w:r>
      <w:r w:rsidRPr="005A46FC">
        <w:rPr>
          <w:rFonts w:ascii="Times New Roman" w:hAnsi="Times New Roman"/>
          <w:iCs/>
          <w:color w:val="000000"/>
          <w:sz w:val="24"/>
          <w:szCs w:val="24"/>
        </w:rPr>
        <w:t xml:space="preserve"> эмбриотоксич</w:t>
      </w:r>
      <w:r w:rsidR="00905AEA" w:rsidRPr="005A46FC">
        <w:rPr>
          <w:rFonts w:ascii="Times New Roman" w:hAnsi="Times New Roman"/>
          <w:iCs/>
          <w:color w:val="000000"/>
          <w:sz w:val="24"/>
          <w:szCs w:val="24"/>
        </w:rPr>
        <w:t>ный и</w:t>
      </w:r>
      <w:r w:rsidRPr="005A46FC">
        <w:rPr>
          <w:rFonts w:ascii="Times New Roman" w:hAnsi="Times New Roman"/>
          <w:iCs/>
          <w:color w:val="000000"/>
          <w:sz w:val="24"/>
          <w:szCs w:val="24"/>
        </w:rPr>
        <w:t xml:space="preserve"> тератоген</w:t>
      </w:r>
      <w:r w:rsidR="00905AEA" w:rsidRPr="005A46FC">
        <w:rPr>
          <w:rFonts w:ascii="Times New Roman" w:hAnsi="Times New Roman"/>
          <w:iCs/>
          <w:color w:val="000000"/>
          <w:sz w:val="24"/>
          <w:szCs w:val="24"/>
        </w:rPr>
        <w:t>ный эффект</w:t>
      </w:r>
      <w:r w:rsidRPr="005A46FC">
        <w:rPr>
          <w:rFonts w:ascii="Times New Roman" w:hAnsi="Times New Roman"/>
          <w:iCs/>
          <w:color w:val="000000"/>
          <w:sz w:val="24"/>
          <w:szCs w:val="24"/>
        </w:rPr>
        <w:t xml:space="preserve"> при </w:t>
      </w:r>
      <w:r w:rsidR="00905AEA" w:rsidRPr="005A46FC">
        <w:rPr>
          <w:rFonts w:ascii="Times New Roman" w:hAnsi="Times New Roman"/>
          <w:iCs/>
          <w:color w:val="000000"/>
          <w:sz w:val="24"/>
          <w:szCs w:val="24"/>
        </w:rPr>
        <w:t xml:space="preserve">его </w:t>
      </w:r>
      <w:r w:rsidRPr="005A46FC">
        <w:rPr>
          <w:rFonts w:ascii="Times New Roman" w:hAnsi="Times New Roman"/>
          <w:iCs/>
          <w:color w:val="000000"/>
          <w:sz w:val="24"/>
          <w:szCs w:val="24"/>
        </w:rPr>
        <w:t>введении крысам и кроликам (см. раздел 5.3).</w:t>
      </w:r>
    </w:p>
    <w:p w14:paraId="3B996C04" w14:textId="77777777" w:rsidR="00030640" w:rsidRPr="005A46FC" w:rsidRDefault="00030640" w:rsidP="00030640">
      <w:pPr>
        <w:spacing w:after="0" w:line="240" w:lineRule="auto"/>
        <w:jc w:val="both"/>
        <w:rPr>
          <w:rFonts w:ascii="Times New Roman" w:hAnsi="Times New Roman"/>
          <w:iCs/>
          <w:color w:val="000000"/>
          <w:sz w:val="24"/>
          <w:szCs w:val="24"/>
        </w:rPr>
      </w:pPr>
      <w:r w:rsidRPr="005A46FC">
        <w:rPr>
          <w:rFonts w:ascii="Times New Roman" w:hAnsi="Times New Roman"/>
          <w:iCs/>
          <w:color w:val="000000"/>
          <w:sz w:val="24"/>
          <w:szCs w:val="24"/>
        </w:rPr>
        <w:t xml:space="preserve">Ленватиниб не следует применять во время беременности, за исключением случаев </w:t>
      </w:r>
      <w:r w:rsidR="00905AEA" w:rsidRPr="005A46FC">
        <w:rPr>
          <w:rFonts w:ascii="Times New Roman" w:hAnsi="Times New Roman"/>
          <w:iCs/>
          <w:color w:val="000000"/>
          <w:sz w:val="24"/>
          <w:szCs w:val="24"/>
        </w:rPr>
        <w:t>острой</w:t>
      </w:r>
      <w:r w:rsidRPr="005A46FC">
        <w:rPr>
          <w:rFonts w:ascii="Times New Roman" w:hAnsi="Times New Roman"/>
          <w:iCs/>
          <w:color w:val="000000"/>
          <w:sz w:val="24"/>
          <w:szCs w:val="24"/>
        </w:rPr>
        <w:t xml:space="preserve"> необходимости и после тщательного изучения </w:t>
      </w:r>
      <w:r w:rsidR="00905AEA" w:rsidRPr="005A46FC">
        <w:rPr>
          <w:rFonts w:ascii="Times New Roman" w:hAnsi="Times New Roman"/>
          <w:iCs/>
          <w:color w:val="000000"/>
          <w:sz w:val="24"/>
          <w:szCs w:val="24"/>
        </w:rPr>
        <w:t>пользы для</w:t>
      </w:r>
      <w:r w:rsidRPr="005A46FC">
        <w:rPr>
          <w:rFonts w:ascii="Times New Roman" w:hAnsi="Times New Roman"/>
          <w:iCs/>
          <w:color w:val="000000"/>
          <w:sz w:val="24"/>
          <w:szCs w:val="24"/>
        </w:rPr>
        <w:t xml:space="preserve"> матери и риска для плода.</w:t>
      </w:r>
    </w:p>
    <w:p w14:paraId="07D19C7D" w14:textId="77777777" w:rsidR="00B05BD1" w:rsidRPr="005A46FC" w:rsidRDefault="00B05BD1" w:rsidP="0078568D">
      <w:pPr>
        <w:spacing w:after="0" w:line="240" w:lineRule="auto"/>
        <w:jc w:val="both"/>
        <w:rPr>
          <w:rFonts w:ascii="Times New Roman" w:hAnsi="Times New Roman"/>
          <w:i/>
          <w:color w:val="000000"/>
          <w:sz w:val="24"/>
          <w:szCs w:val="24"/>
        </w:rPr>
      </w:pPr>
      <w:r w:rsidRPr="005A46FC">
        <w:rPr>
          <w:rFonts w:ascii="Times New Roman" w:hAnsi="Times New Roman"/>
          <w:i/>
          <w:color w:val="000000"/>
          <w:sz w:val="24"/>
          <w:szCs w:val="24"/>
        </w:rPr>
        <w:t>Кормление грудью</w:t>
      </w:r>
    </w:p>
    <w:p w14:paraId="0F6D2262" w14:textId="77777777" w:rsidR="00905AEA" w:rsidRPr="005A46FC" w:rsidRDefault="00905AEA" w:rsidP="0078568D">
      <w:pPr>
        <w:spacing w:after="0" w:line="240" w:lineRule="auto"/>
        <w:jc w:val="both"/>
        <w:rPr>
          <w:rFonts w:ascii="Times New Roman" w:hAnsi="Times New Roman"/>
          <w:iCs/>
          <w:color w:val="000000"/>
          <w:sz w:val="24"/>
          <w:szCs w:val="24"/>
        </w:rPr>
      </w:pPr>
      <w:r w:rsidRPr="005A46FC">
        <w:rPr>
          <w:rFonts w:ascii="Times New Roman" w:hAnsi="Times New Roman"/>
          <w:iCs/>
          <w:color w:val="000000"/>
          <w:sz w:val="24"/>
          <w:szCs w:val="24"/>
        </w:rPr>
        <w:t xml:space="preserve">Неизвестно, выделяется ли ленватиниб с грудным молоком. Ленватиниб и его метаболиты выделяются с молоком крыс (см. раздел 5.3). Нельзя исключить риск для </w:t>
      </w:r>
      <w:r w:rsidRPr="005A46FC">
        <w:rPr>
          <w:rFonts w:ascii="Times New Roman" w:hAnsi="Times New Roman"/>
          <w:iCs/>
          <w:color w:val="000000"/>
          <w:sz w:val="24"/>
          <w:szCs w:val="24"/>
        </w:rPr>
        <w:lastRenderedPageBreak/>
        <w:t>новорожденных или детей грудного возраста, следовательно ленватиниб противопоказан при грудном вскармливании (см. раздел 4.3).</w:t>
      </w:r>
    </w:p>
    <w:p w14:paraId="68CCBB34" w14:textId="77777777" w:rsidR="00B05BD1" w:rsidRPr="005A46FC" w:rsidRDefault="00B05BD1" w:rsidP="0078568D">
      <w:pPr>
        <w:spacing w:after="0" w:line="240" w:lineRule="auto"/>
        <w:jc w:val="both"/>
        <w:rPr>
          <w:rFonts w:ascii="Times New Roman" w:hAnsi="Times New Roman"/>
          <w:i/>
          <w:color w:val="000000"/>
          <w:sz w:val="24"/>
          <w:szCs w:val="24"/>
        </w:rPr>
      </w:pPr>
      <w:r w:rsidRPr="005A46FC">
        <w:rPr>
          <w:rFonts w:ascii="Times New Roman" w:hAnsi="Times New Roman"/>
          <w:i/>
          <w:color w:val="000000"/>
          <w:sz w:val="24"/>
          <w:szCs w:val="24"/>
        </w:rPr>
        <w:t>Фертильность</w:t>
      </w:r>
    </w:p>
    <w:p w14:paraId="11369D2C" w14:textId="77777777" w:rsidR="0078568D" w:rsidRPr="005A46FC" w:rsidRDefault="00905AEA" w:rsidP="0078568D">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Воздействие на человека неизвестно. Однако токсичность для яичек и яичников наблюдалась у крыс, собак и обезьян (см. раздел 5.3).</w:t>
      </w:r>
    </w:p>
    <w:p w14:paraId="77386E4F" w14:textId="77777777" w:rsidR="00905AEA" w:rsidRPr="005A46FC" w:rsidRDefault="00905AEA" w:rsidP="0078568D">
      <w:pPr>
        <w:spacing w:after="0" w:line="240" w:lineRule="auto"/>
        <w:jc w:val="both"/>
        <w:rPr>
          <w:rFonts w:ascii="Times New Roman" w:eastAsia="Times New Roman" w:hAnsi="Times New Roman"/>
          <w:b/>
          <w:sz w:val="24"/>
          <w:szCs w:val="24"/>
          <w:lang w:eastAsia="ru-RU"/>
        </w:rPr>
      </w:pPr>
    </w:p>
    <w:p w14:paraId="4AECB7EC" w14:textId="77777777" w:rsidR="00CE7F7F" w:rsidRPr="005A46FC" w:rsidRDefault="00DB406A" w:rsidP="00CE7F7F">
      <w:pPr>
        <w:spacing w:after="0" w:line="240" w:lineRule="auto"/>
        <w:jc w:val="both"/>
        <w:rPr>
          <w:b/>
          <w:i/>
          <w:sz w:val="24"/>
          <w:szCs w:val="24"/>
        </w:rPr>
      </w:pPr>
      <w:r w:rsidRPr="005A46FC">
        <w:rPr>
          <w:rFonts w:ascii="Times New Roman" w:eastAsia="Times New Roman" w:hAnsi="Times New Roman"/>
          <w:b/>
          <w:sz w:val="24"/>
          <w:szCs w:val="24"/>
          <w:lang w:eastAsia="ru-RU"/>
        </w:rPr>
        <w:t>4.</w:t>
      </w:r>
      <w:r w:rsidR="00B05BD1" w:rsidRPr="005A46FC">
        <w:rPr>
          <w:rFonts w:ascii="Times New Roman" w:eastAsia="Times New Roman" w:hAnsi="Times New Roman"/>
          <w:b/>
          <w:sz w:val="24"/>
          <w:szCs w:val="24"/>
          <w:lang w:eastAsia="ru-RU"/>
        </w:rPr>
        <w:t>7</w:t>
      </w:r>
      <w:r w:rsidRPr="005A46FC">
        <w:rPr>
          <w:rFonts w:ascii="Times New Roman" w:eastAsia="Times New Roman" w:hAnsi="Times New Roman"/>
          <w:b/>
          <w:sz w:val="24"/>
          <w:szCs w:val="24"/>
          <w:lang w:eastAsia="ru-RU"/>
        </w:rPr>
        <w:t xml:space="preserve"> </w:t>
      </w:r>
      <w:r w:rsidR="00B05BD1" w:rsidRPr="005A46FC">
        <w:rPr>
          <w:rFonts w:ascii="Times New Roman" w:eastAsia="Times New Roman" w:hAnsi="Times New Roman"/>
          <w:b/>
          <w:sz w:val="24"/>
          <w:szCs w:val="24"/>
          <w:lang w:eastAsia="ru-RU"/>
        </w:rPr>
        <w:t xml:space="preserve">Влияние на способность управлять транспортными средствами и </w:t>
      </w:r>
      <w:r w:rsidR="00CE7F7F" w:rsidRPr="005A46FC">
        <w:rPr>
          <w:rFonts w:ascii="Times New Roman" w:hAnsi="Times New Roman"/>
          <w:b/>
          <w:sz w:val="24"/>
          <w:szCs w:val="24"/>
        </w:rPr>
        <w:t>потенциально опасными механизмами</w:t>
      </w:r>
      <w:r w:rsidR="00CE7F7F" w:rsidRPr="005A46FC">
        <w:rPr>
          <w:rFonts w:ascii="Times New Roman" w:eastAsia="Times New Roman" w:hAnsi="Times New Roman"/>
          <w:b/>
          <w:sz w:val="24"/>
          <w:szCs w:val="24"/>
          <w:lang w:eastAsia="ru-RU"/>
        </w:rPr>
        <w:t xml:space="preserve"> </w:t>
      </w:r>
      <w:bookmarkStart w:id="5" w:name="2175220282"/>
    </w:p>
    <w:p w14:paraId="7658AFDF" w14:textId="77777777" w:rsidR="002E04B7" w:rsidRPr="005A46FC" w:rsidRDefault="00905AEA" w:rsidP="0078568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Ленватиниб оказывает незначительное влияние на способность управлять транспортными средствами и на работу с механизмами из-за побочных эффектов, таких как утомляемость и головокружение. Пациентам, у которых возникают эти симптомы, следует соблюдать осторожность при управлении транспортными средствами или работе с механизмами.</w:t>
      </w:r>
    </w:p>
    <w:p w14:paraId="436007BB" w14:textId="77777777" w:rsidR="00905AEA" w:rsidRPr="005A46FC" w:rsidRDefault="00905AEA" w:rsidP="0078568D">
      <w:pPr>
        <w:spacing w:after="0" w:line="240" w:lineRule="auto"/>
        <w:jc w:val="both"/>
        <w:rPr>
          <w:rFonts w:ascii="Times New Roman" w:eastAsia="Times New Roman" w:hAnsi="Times New Roman"/>
          <w:b/>
          <w:sz w:val="24"/>
          <w:szCs w:val="24"/>
          <w:lang w:eastAsia="ru-RU"/>
        </w:rPr>
      </w:pPr>
    </w:p>
    <w:p w14:paraId="56156560" w14:textId="77777777" w:rsidR="009D67EC" w:rsidRPr="005A46FC" w:rsidRDefault="009D67EC" w:rsidP="0078568D">
      <w:pPr>
        <w:spacing w:after="0" w:line="240" w:lineRule="auto"/>
        <w:jc w:val="both"/>
        <w:rPr>
          <w:rFonts w:ascii="Times New Roman" w:hAnsi="Times New Roman"/>
          <w:color w:val="000000"/>
          <w:sz w:val="24"/>
          <w:szCs w:val="24"/>
        </w:rPr>
      </w:pPr>
      <w:r w:rsidRPr="005A46FC">
        <w:rPr>
          <w:rFonts w:ascii="Times New Roman" w:eastAsia="Times New Roman" w:hAnsi="Times New Roman"/>
          <w:b/>
          <w:sz w:val="24"/>
          <w:szCs w:val="24"/>
          <w:lang w:eastAsia="ru-RU"/>
        </w:rPr>
        <w:t>4.8 Нежелательные реакции</w:t>
      </w:r>
      <w:bookmarkEnd w:id="5"/>
    </w:p>
    <w:p w14:paraId="0DDF08EB" w14:textId="77777777" w:rsidR="00905AEA" w:rsidRPr="005A46FC" w:rsidRDefault="00905AEA" w:rsidP="00905AEA">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4065C835" w14:textId="77777777" w:rsidR="00905AEA" w:rsidRPr="005A46FC" w:rsidRDefault="00905AEA" w:rsidP="00905AEA">
      <w:pPr>
        <w:spacing w:after="0" w:line="240" w:lineRule="auto"/>
        <w:jc w:val="both"/>
        <w:rPr>
          <w:rFonts w:ascii="Times New Roman" w:hAnsi="Times New Roman"/>
          <w:sz w:val="24"/>
          <w:szCs w:val="24"/>
        </w:rPr>
      </w:pPr>
      <w:r w:rsidRPr="005A46FC">
        <w:rPr>
          <w:rFonts w:ascii="Times New Roman" w:hAnsi="Times New Roman"/>
          <w:sz w:val="24"/>
          <w:szCs w:val="24"/>
        </w:rPr>
        <w:t>Наиболее часто сообщаемыми побочными реакциями (возникшие у ≥30% пациентов) являются артериальная гипертензия (68,6%), диарея (62,8%), снижение аппетита (51,5%), снижение массы тела (49,1%), утомляемость (45,8%), тошнота (44,5%), протеинурия 36,9%), стоматит (35,8%), рвота (34,5%), дисфония (34,1%), головная боль (34,1%), синдром ладонно-подошвенной эритродизестезии (ЛПЭ) (32,7%). Артериальная гипертензия и протеинурия, как правило, возникают в начале лечения ленватинибом (см. разделы 4.4 и 4.8). Большинство нежелательных реакций 3-4 степени возникали в течение первых 6 месяцев лечения, за исключением диареи, которая наблюдалась на протяжении всего лечения, и потери массы тела, которая имела тенденцию к набору с течением времени.</w:t>
      </w:r>
    </w:p>
    <w:p w14:paraId="1BBE72DF" w14:textId="77777777" w:rsidR="00905AEA" w:rsidRPr="005A46FC" w:rsidRDefault="00905AEA" w:rsidP="00905AEA">
      <w:pPr>
        <w:spacing w:after="0" w:line="240" w:lineRule="auto"/>
        <w:jc w:val="both"/>
        <w:rPr>
          <w:rFonts w:ascii="Times New Roman" w:hAnsi="Times New Roman"/>
          <w:sz w:val="24"/>
          <w:szCs w:val="24"/>
        </w:rPr>
      </w:pPr>
      <w:r w:rsidRPr="005A46FC">
        <w:rPr>
          <w:rFonts w:ascii="Times New Roman" w:hAnsi="Times New Roman"/>
          <w:sz w:val="24"/>
          <w:szCs w:val="24"/>
        </w:rPr>
        <w:t>Наиболее важными серьезными побочными реакциями были почечная недостаточность и нарушения (2,4%), артериальные тромбоэмболии (3,9%), сердечная недостаточность (0,7%), внутричерепное опухолевое кровоизлияние (0,7%), PRES/RPLS (0,2%), печеночная недостаточность (0,2%), и артериальные тромбоэмболии (состояние мозгового кровообращения (1,1%), транзиторная ишемическая атака (0,7%) и инфаркт миокарда (0,9%).</w:t>
      </w:r>
    </w:p>
    <w:p w14:paraId="744991C7" w14:textId="77777777" w:rsidR="00905AEA" w:rsidRPr="005A46FC" w:rsidRDefault="00905AEA" w:rsidP="00905AEA">
      <w:pPr>
        <w:spacing w:after="0" w:line="240" w:lineRule="auto"/>
        <w:jc w:val="both"/>
        <w:rPr>
          <w:rFonts w:ascii="Times New Roman" w:hAnsi="Times New Roman"/>
          <w:sz w:val="24"/>
          <w:szCs w:val="24"/>
        </w:rPr>
      </w:pPr>
      <w:r w:rsidRPr="005A46FC">
        <w:rPr>
          <w:rFonts w:ascii="Times New Roman" w:hAnsi="Times New Roman"/>
          <w:sz w:val="24"/>
          <w:szCs w:val="24"/>
        </w:rPr>
        <w:t xml:space="preserve">У 452 пациентов с резистентным к РАИ ДРЩЖ снижение дозы и прекращение лечения были мерами, предпринятыми в связи с побочной реакцией у 63,1% и 19,5% пациентов соответственно. Побочными реакциями, которые чаще всего приводили к снижению дозы (у ≥5% пациентов), были артериальная гипертензия, протеинурия, диарея, утомляемость, </w:t>
      </w:r>
      <w:r w:rsidR="00D71716" w:rsidRPr="005A46FC">
        <w:rPr>
          <w:rFonts w:ascii="Times New Roman" w:hAnsi="Times New Roman"/>
          <w:sz w:val="24"/>
          <w:szCs w:val="24"/>
        </w:rPr>
        <w:t>зудящие папулезные высыпания</w:t>
      </w:r>
      <w:r w:rsidRPr="005A46FC">
        <w:rPr>
          <w:rFonts w:ascii="Times New Roman" w:hAnsi="Times New Roman"/>
          <w:sz w:val="24"/>
          <w:szCs w:val="24"/>
        </w:rPr>
        <w:t xml:space="preserve">, снижение массы тела и снижение аппетита. Побочными реакциями, которые чаще всего приводили к отмене </w:t>
      </w:r>
      <w:r w:rsidR="00D71716" w:rsidRPr="005A46FC">
        <w:rPr>
          <w:rFonts w:ascii="Times New Roman" w:hAnsi="Times New Roman"/>
          <w:sz w:val="24"/>
          <w:szCs w:val="24"/>
        </w:rPr>
        <w:t xml:space="preserve">приема </w:t>
      </w:r>
      <w:r w:rsidRPr="005A46FC">
        <w:rPr>
          <w:rFonts w:ascii="Times New Roman" w:hAnsi="Times New Roman"/>
          <w:sz w:val="24"/>
          <w:szCs w:val="24"/>
        </w:rPr>
        <w:t>ленватиниба, были протеинурия, астения, артериальная гипертензия, нарушения мозгового кровообращения, диарея и тромбоэмболия легочной артерии.</w:t>
      </w:r>
    </w:p>
    <w:p w14:paraId="456A650C" w14:textId="77777777" w:rsidR="00D71716" w:rsidRPr="005A46FC" w:rsidRDefault="00D71716" w:rsidP="00D71716">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1DB34A9D" w14:textId="77777777" w:rsidR="00D71716" w:rsidRPr="005A46FC" w:rsidRDefault="00D71716" w:rsidP="00D71716">
      <w:pPr>
        <w:spacing w:after="0" w:line="240" w:lineRule="auto"/>
        <w:jc w:val="both"/>
        <w:rPr>
          <w:rFonts w:ascii="Times New Roman" w:hAnsi="Times New Roman"/>
          <w:sz w:val="24"/>
          <w:szCs w:val="24"/>
        </w:rPr>
      </w:pPr>
      <w:r w:rsidRPr="005A46FC">
        <w:rPr>
          <w:rFonts w:ascii="Times New Roman" w:hAnsi="Times New Roman"/>
          <w:sz w:val="24"/>
          <w:szCs w:val="24"/>
        </w:rPr>
        <w:t>Наиболее часто сообщаемыми побочными реакциями (возникшие у ≥30% пациентов) являются артериальная гипертензия (44,0%), диарея (38,1%), снижение аппетита (34,9%), утомляемость (30,6%) и снижение массы тела (30,4%).</w:t>
      </w:r>
    </w:p>
    <w:p w14:paraId="024226EE" w14:textId="77777777" w:rsidR="00D71716" w:rsidRPr="005A46FC" w:rsidRDefault="00D71716" w:rsidP="00D71716">
      <w:pPr>
        <w:spacing w:after="0" w:line="240" w:lineRule="auto"/>
        <w:jc w:val="both"/>
        <w:rPr>
          <w:rFonts w:ascii="Times New Roman" w:hAnsi="Times New Roman"/>
          <w:sz w:val="24"/>
          <w:szCs w:val="24"/>
        </w:rPr>
      </w:pPr>
      <w:r w:rsidRPr="005A46FC">
        <w:rPr>
          <w:rFonts w:ascii="Times New Roman" w:hAnsi="Times New Roman"/>
          <w:sz w:val="24"/>
          <w:szCs w:val="24"/>
        </w:rPr>
        <w:t xml:space="preserve">Наиболее значимыми серьезными побочными реакциями были печеночная недостаточность (2,8%), печеночная энцефалопатия (4,6%), кровотечение из варикозно расширенных вен пищевода (1,4%), кровоизлияние в мозг (0,6%), артериальная тромбоэмболия (2,0%), включая инфаркт миокарда (0,8%), инфаркт головного мозга (0,4%) и нарушение мозгового кровообращения (0,4%) и явления почечной недостаточности/нарушения (1,4%). У пациентов с ГЦР наблюдалась более высокая частота снижения количества нейтрофилов (8,7% при приеме ленватиниба, чем при </w:t>
      </w:r>
      <w:r w:rsidRPr="005A46FC">
        <w:rPr>
          <w:rFonts w:ascii="Times New Roman" w:hAnsi="Times New Roman"/>
          <w:sz w:val="24"/>
          <w:szCs w:val="24"/>
        </w:rPr>
        <w:lastRenderedPageBreak/>
        <w:t>других типах опухолей, не являющихся ГЦР (1,4%)), что не имело отношения к инфекции, сепсису или бактериальному перитониту.</w:t>
      </w:r>
    </w:p>
    <w:p w14:paraId="3EDC2D49" w14:textId="77777777" w:rsidR="00D71716" w:rsidRPr="005A46FC" w:rsidRDefault="00D71716" w:rsidP="00D71716">
      <w:pPr>
        <w:spacing w:after="0" w:line="240" w:lineRule="auto"/>
        <w:jc w:val="both"/>
        <w:rPr>
          <w:rFonts w:ascii="Times New Roman" w:hAnsi="Times New Roman"/>
          <w:sz w:val="24"/>
          <w:szCs w:val="24"/>
        </w:rPr>
      </w:pPr>
      <w:r w:rsidRPr="005A46FC">
        <w:rPr>
          <w:rFonts w:ascii="Times New Roman" w:hAnsi="Times New Roman"/>
          <w:sz w:val="24"/>
          <w:szCs w:val="24"/>
        </w:rPr>
        <w:t>У 496 пациентов с ГЦР изменение дозы (прекращение или снижение) и прекращение лечения были действиями, предпринятыми в связи с побочной реакцией у 62,3% и 20,2% пациентов соответственно. Побочные реакции, которые чаще всего приводили к изменению дозы (у ≥5% пациентов), включали снижение аппетита, диарею, протеинурию, артериальную гипертензию, утомляемость, зудящие папулезные высыпания и снижение количества тромбоцитов. Побочными реакциями, которые чаще всего приводили к отмене ленватиниба, были печеночная энцефалопатия, утомляемость, повышение уровня билирубина в крови, протеинурия и печеночная недостаточность.</w:t>
      </w:r>
    </w:p>
    <w:p w14:paraId="1FC22589" w14:textId="77777777" w:rsidR="00D71716" w:rsidRPr="005A46FC" w:rsidRDefault="00D71716" w:rsidP="00D71716">
      <w:pPr>
        <w:spacing w:after="0" w:line="240" w:lineRule="auto"/>
        <w:jc w:val="both"/>
        <w:rPr>
          <w:rFonts w:ascii="Times New Roman" w:hAnsi="Times New Roman"/>
          <w:i/>
          <w:iCs/>
          <w:sz w:val="24"/>
          <w:szCs w:val="24"/>
        </w:rPr>
      </w:pPr>
      <w:r w:rsidRPr="005A46FC">
        <w:rPr>
          <w:rFonts w:ascii="Times New Roman" w:hAnsi="Times New Roman"/>
          <w:i/>
          <w:iCs/>
          <w:sz w:val="24"/>
          <w:szCs w:val="24"/>
        </w:rPr>
        <w:t>Рак эндометрия</w:t>
      </w:r>
    </w:p>
    <w:p w14:paraId="7626C558" w14:textId="77777777" w:rsidR="00D71716" w:rsidRPr="005A46FC" w:rsidRDefault="00D71716" w:rsidP="00D71716">
      <w:pPr>
        <w:spacing w:after="0" w:line="240" w:lineRule="auto"/>
        <w:jc w:val="both"/>
        <w:rPr>
          <w:rFonts w:ascii="Times New Roman" w:hAnsi="Times New Roman"/>
          <w:sz w:val="24"/>
          <w:szCs w:val="24"/>
        </w:rPr>
      </w:pPr>
      <w:r w:rsidRPr="005A46FC">
        <w:rPr>
          <w:rFonts w:ascii="Times New Roman" w:hAnsi="Times New Roman"/>
          <w:sz w:val="24"/>
          <w:szCs w:val="24"/>
        </w:rPr>
        <w:t>Безопасность ленватиниба в комбинации с пембролизумабом оценивали у 530 пациентов с распространенным РЭ, получавших 20 мг ленватиниба один раз в сутки и 200 мг пембролизумаба каждые 3 недели. Наиболее частыми (встречающимися у ≥20% пациентов) побочными реакциями были артериальная гипертензия (63%), диарея (57%), гипотиреоз (56%), тошнота (51%), снижение аппетита (47%), рвота (39%), усталость (38%), снижение веса (35%), артралгия (33%), протеинурия (29%), запор (27%), головная боль (27%), инфекция мочевыводящих путей (27%), дисфония (25%), боль в животе (23%), астения (23%), синдром ладонно-подошвенной эритродизестезии (23%), стоматит (23%), анемия (22%) и гипомагниемия (20%).</w:t>
      </w:r>
    </w:p>
    <w:p w14:paraId="486DB33C" w14:textId="77777777" w:rsidR="00D71716" w:rsidRPr="005A46FC" w:rsidRDefault="002B1E68" w:rsidP="00D71716">
      <w:pPr>
        <w:spacing w:after="0" w:line="240" w:lineRule="auto"/>
        <w:jc w:val="both"/>
        <w:rPr>
          <w:rFonts w:ascii="Times New Roman" w:hAnsi="Times New Roman"/>
          <w:sz w:val="24"/>
          <w:szCs w:val="24"/>
        </w:rPr>
      </w:pPr>
      <w:r w:rsidRPr="005A46FC">
        <w:rPr>
          <w:rFonts w:ascii="Times New Roman" w:hAnsi="Times New Roman"/>
          <w:sz w:val="24"/>
          <w:szCs w:val="24"/>
        </w:rPr>
        <w:t>Наиболее частыми (встречающимися у ≥5% пациентов) тяжелыми (степенью ≥3) побочными реакциями были артериальная гипертензия (37,2%), снижение массы тела (9,1%), диарея (8,1%), повышение уровня липазы (7,7%), снижение аппетита (6,4%), астения (6%), утомляемость (6%), гипокалиемия (5,7%), анемия (5,3%) и протеинурия (5,1%).</w:t>
      </w:r>
    </w:p>
    <w:p w14:paraId="3381DEC9" w14:textId="77777777" w:rsidR="00FE592D" w:rsidRPr="005A46FC" w:rsidRDefault="00FE592D" w:rsidP="00D71716">
      <w:pPr>
        <w:spacing w:after="0" w:line="240" w:lineRule="auto"/>
        <w:jc w:val="both"/>
        <w:rPr>
          <w:rFonts w:ascii="Times New Roman" w:hAnsi="Times New Roman"/>
          <w:sz w:val="24"/>
          <w:szCs w:val="24"/>
        </w:rPr>
      </w:pPr>
      <w:r w:rsidRPr="005A46FC">
        <w:rPr>
          <w:rFonts w:ascii="Times New Roman" w:hAnsi="Times New Roman"/>
          <w:sz w:val="24"/>
          <w:szCs w:val="24"/>
        </w:rPr>
        <w:t>Прекращение приема ленватиниба имело место у 30,6% пациентов, а прекращение приема как ленватиниба, так и пембролизумаба имело место у 15,3% пациентов ввиду побочных реакций. Наиболее частыми (встречающимися у ≥1% пациентов) побочными реакциями, приводящими к прекращению приема ленватиниба, были артериальная гипертензия (1,9%), диарея (1,3%), астения (1,3%), снижение аппетита (1,3%), протеинурия (1,3%) и снижение массы тела (1,1%).</w:t>
      </w:r>
    </w:p>
    <w:p w14:paraId="184CA4A1" w14:textId="77777777" w:rsidR="00FE592D" w:rsidRPr="005A46FC" w:rsidRDefault="00FE592D" w:rsidP="00D71716">
      <w:pPr>
        <w:spacing w:after="0" w:line="240" w:lineRule="auto"/>
        <w:jc w:val="both"/>
        <w:rPr>
          <w:rFonts w:ascii="Times New Roman" w:hAnsi="Times New Roman"/>
          <w:sz w:val="24"/>
          <w:szCs w:val="24"/>
        </w:rPr>
      </w:pPr>
      <w:r w:rsidRPr="005A46FC">
        <w:rPr>
          <w:rFonts w:ascii="Times New Roman" w:hAnsi="Times New Roman"/>
          <w:sz w:val="24"/>
          <w:szCs w:val="24"/>
        </w:rPr>
        <w:t>Прерывание приема ленватиниба из-за побочных реакций произошло у 63,2% пациентов. Прерывание приема ленватиниба и пембролизумаба из-за побочных реакций произошло у 34,3% пациентов. Наиболее частыми (встречающимися у ≥5% пациентов) побочными реакциями, приводящими к прекращению приема ленватиниба, были артериальная гипертензия (12,6%), диарея (11,5%), протеинурия (7,2%), рвота (7%), утомляемость (5,7%), и снижение аппетита (5,7%).</w:t>
      </w:r>
    </w:p>
    <w:p w14:paraId="4F5485A3" w14:textId="77777777" w:rsidR="00FE592D" w:rsidRPr="005A46FC" w:rsidRDefault="00387A7E" w:rsidP="00D71716">
      <w:pPr>
        <w:spacing w:after="0" w:line="240" w:lineRule="auto"/>
        <w:jc w:val="both"/>
        <w:rPr>
          <w:rFonts w:ascii="Times New Roman" w:hAnsi="Times New Roman"/>
          <w:sz w:val="24"/>
          <w:szCs w:val="24"/>
        </w:rPr>
      </w:pPr>
      <w:r w:rsidRPr="005A46FC">
        <w:rPr>
          <w:rFonts w:ascii="Times New Roman" w:hAnsi="Times New Roman"/>
          <w:sz w:val="24"/>
          <w:szCs w:val="24"/>
        </w:rPr>
        <w:t>Снижение дозы ленватиниба из-за побочных реакций наблюдалось у 67,0% пациентов. Наиболее частыми (встречающимися у ≥5% пациентов) побочными реакциями, приводящими к снижению дозы ленватиниба, были артериальная гипертензия (16,2%), диарея (12,5%), синдром ладонно-подошвенной эритродизестезии (9,1%), утомляемость (8,7%), протеинурия (7,7%), снижение аппетита (6,6%), тошнота (5,5%), астения (5,1%) и снижение веса (5,1%).</w:t>
      </w:r>
    </w:p>
    <w:p w14:paraId="78978D30" w14:textId="77777777" w:rsidR="00387A7E" w:rsidRPr="005A46FC" w:rsidRDefault="00387A7E" w:rsidP="00387A7E">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Табличный список побочных реакций</w:t>
      </w:r>
    </w:p>
    <w:p w14:paraId="69105582" w14:textId="77777777" w:rsidR="00387A7E" w:rsidRPr="005A46FC" w:rsidRDefault="00387A7E" w:rsidP="00387A7E">
      <w:pPr>
        <w:spacing w:after="0" w:line="240" w:lineRule="auto"/>
        <w:jc w:val="both"/>
        <w:rPr>
          <w:rFonts w:ascii="Times New Roman" w:hAnsi="Times New Roman"/>
          <w:sz w:val="24"/>
          <w:szCs w:val="24"/>
        </w:rPr>
      </w:pPr>
      <w:r w:rsidRPr="005A46FC">
        <w:rPr>
          <w:rFonts w:ascii="Times New Roman" w:hAnsi="Times New Roman"/>
          <w:sz w:val="24"/>
          <w:szCs w:val="24"/>
        </w:rPr>
        <w:t>Профиль безопасности ленватиниба в качестве монотерапии основан на данных 452 пациентов с ДРЩЖ и 496 пациентов с ГЦР; позволяя охарактеризовать только общие побочные реакции на препараты у пациентов с ДРЩЖ и ГЦР. Нежелательные реакции, представленные в этом разделе, основаны на данных по безопасности пациентов с ДРЩЖ и ГЦР (см. раздел 5.1).</w:t>
      </w:r>
    </w:p>
    <w:p w14:paraId="32AD4BCC" w14:textId="77777777" w:rsidR="00387A7E" w:rsidRPr="005A46FC" w:rsidRDefault="00387A7E" w:rsidP="00387A7E">
      <w:pPr>
        <w:spacing w:after="0" w:line="240" w:lineRule="auto"/>
        <w:jc w:val="both"/>
        <w:rPr>
          <w:rFonts w:ascii="Times New Roman" w:hAnsi="Times New Roman"/>
          <w:sz w:val="24"/>
          <w:szCs w:val="24"/>
        </w:rPr>
      </w:pPr>
      <w:r w:rsidRPr="005A46FC">
        <w:rPr>
          <w:rFonts w:ascii="Times New Roman" w:hAnsi="Times New Roman"/>
          <w:sz w:val="24"/>
          <w:szCs w:val="24"/>
        </w:rPr>
        <w:lastRenderedPageBreak/>
        <w:t>Профиль безопасности ленватиниба в качестве комбинированной терапии основан на данных 530 пациентов с РЭ, получавших ленватиниб в комбинации с пембролизумабом (см. раздел 5.1).</w:t>
      </w:r>
    </w:p>
    <w:p w14:paraId="3D419658" w14:textId="77777777" w:rsidR="00387A7E" w:rsidRPr="005A46FC" w:rsidRDefault="00387A7E" w:rsidP="00387A7E">
      <w:pPr>
        <w:spacing w:after="0" w:line="240" w:lineRule="auto"/>
        <w:jc w:val="both"/>
        <w:rPr>
          <w:rFonts w:ascii="Times New Roman" w:hAnsi="Times New Roman"/>
          <w:sz w:val="24"/>
          <w:szCs w:val="24"/>
        </w:rPr>
      </w:pPr>
      <w:r w:rsidRPr="005A46FC">
        <w:rPr>
          <w:rFonts w:ascii="Times New Roman" w:hAnsi="Times New Roman"/>
          <w:sz w:val="24"/>
          <w:szCs w:val="24"/>
        </w:rPr>
        <w:t>Нежелательные реакции, наблюдавшиеся в ходе клинических исследований при ДРЩЖ, ГЦР и РЭ, а также сообщения о пострегистрационном применении ленватиниба, перечислены в таблице 6. Категория частоты нежелательных реакций представляет собой наиболее консервативную оценку частоты в отдельных популяциях. Побочные реакции, о которых известно, что они возникают при монотерапии ленватинибом или компонентами комбинированной терапии, могут возникать во время комбинированного лечения этими лекарственными средствами, даже если о таких реакциях не сообщалось в клинических исследованиях комбинированной терапии.</w:t>
      </w:r>
    </w:p>
    <w:p w14:paraId="18318184" w14:textId="77777777" w:rsidR="002B1E68" w:rsidRPr="005A46FC" w:rsidRDefault="00387A7E" w:rsidP="00D71716">
      <w:pPr>
        <w:spacing w:after="0" w:line="240" w:lineRule="auto"/>
        <w:jc w:val="both"/>
        <w:rPr>
          <w:rFonts w:ascii="Times New Roman" w:hAnsi="Times New Roman"/>
          <w:sz w:val="24"/>
          <w:szCs w:val="24"/>
        </w:rPr>
      </w:pPr>
      <w:r w:rsidRPr="005A46FC">
        <w:rPr>
          <w:rFonts w:ascii="Times New Roman" w:hAnsi="Times New Roman"/>
          <w:sz w:val="24"/>
          <w:szCs w:val="24"/>
        </w:rPr>
        <w:t>Дополнительные сведения о безопасности при комбинированном введении ленватиниба см. в Инструкции по применению соответствующего компонента комбинированной терапии (пембролизумаб).</w:t>
      </w:r>
    </w:p>
    <w:p w14:paraId="3E426CBC" w14:textId="77777777" w:rsidR="00957BAF" w:rsidRPr="005A46FC" w:rsidRDefault="00957BAF" w:rsidP="00957BAF">
      <w:pPr>
        <w:spacing w:after="0" w:line="240" w:lineRule="auto"/>
        <w:jc w:val="both"/>
        <w:rPr>
          <w:rFonts w:ascii="Times New Roman" w:hAnsi="Times New Roman"/>
          <w:i/>
          <w:sz w:val="24"/>
          <w:szCs w:val="24"/>
        </w:rPr>
      </w:pPr>
      <w:r w:rsidRPr="005A46FC">
        <w:rPr>
          <w:rFonts w:ascii="Times New Roman" w:eastAsia="Times New Roman" w:hAnsi="Times New Roman"/>
          <w:bCs/>
          <w:i/>
          <w:sz w:val="24"/>
          <w:szCs w:val="24"/>
          <w:lang w:eastAsia="ru-RU"/>
        </w:rPr>
        <w:t>Определение частоты побочных явлений проводится в соответствии со следующими критериями: очень часто (≥ 1/10), часто (≥ от 1/100 до &lt; 1/10), нечасто (≥ от 1/1000 до &lt; 1/100), редко (≥ 1/10000 до  &lt; 1/1000), очень редко (&lt; 1/10000),</w:t>
      </w:r>
      <w:r w:rsidRPr="005A46FC">
        <w:rPr>
          <w:rFonts w:ascii="Times New Roman" w:hAnsi="Times New Roman"/>
          <w:i/>
          <w:sz w:val="24"/>
          <w:szCs w:val="24"/>
        </w:rPr>
        <w:t xml:space="preserve"> неизвестно (невозможно оценить на основании имеющихся данных)</w:t>
      </w:r>
    </w:p>
    <w:p w14:paraId="15524297" w14:textId="77777777" w:rsidR="00387A7E" w:rsidRPr="005A46FC" w:rsidRDefault="00387A7E" w:rsidP="00957BAF">
      <w:pPr>
        <w:spacing w:after="0" w:line="240" w:lineRule="auto"/>
        <w:jc w:val="both"/>
        <w:rPr>
          <w:rFonts w:ascii="Times New Roman" w:hAnsi="Times New Roman"/>
          <w:iCs/>
          <w:sz w:val="24"/>
          <w:szCs w:val="24"/>
        </w:rPr>
      </w:pPr>
      <w:r w:rsidRPr="005A46FC">
        <w:rPr>
          <w:rFonts w:ascii="Times New Roman" w:hAnsi="Times New Roman"/>
          <w:iCs/>
          <w:sz w:val="24"/>
          <w:szCs w:val="24"/>
        </w:rPr>
        <w:t>В каждой частотной категории нежелательные эффекты представлены в порядке убывания серьезности.</w:t>
      </w:r>
    </w:p>
    <w:p w14:paraId="0FD1499D" w14:textId="77777777" w:rsidR="00CE5915" w:rsidRPr="005A46FC" w:rsidRDefault="00CE5915" w:rsidP="00957BAF">
      <w:pPr>
        <w:spacing w:after="0" w:line="240" w:lineRule="auto"/>
        <w:jc w:val="both"/>
        <w:rPr>
          <w:rFonts w:ascii="Times New Roman" w:hAnsi="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387A7E" w:rsidRPr="005A46FC" w14:paraId="3F16BF80" w14:textId="77777777" w:rsidTr="00FD3A41">
        <w:tc>
          <w:tcPr>
            <w:tcW w:w="9287" w:type="dxa"/>
            <w:gridSpan w:val="3"/>
            <w:shd w:val="clear" w:color="auto" w:fill="auto"/>
          </w:tcPr>
          <w:p w14:paraId="6B01CCB2" w14:textId="77777777" w:rsidR="00387A7E" w:rsidRPr="005A46FC" w:rsidRDefault="00387A7E"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Таблица 6. Побочные реакции, зарегистрированные у пациентов, получавших ленватиниб</w:t>
            </w:r>
            <w:r w:rsidRPr="005A46FC">
              <w:rPr>
                <w:rFonts w:ascii="Times New Roman" w:hAnsi="Times New Roman"/>
                <w:b/>
                <w:bCs/>
                <w:iCs/>
                <w:sz w:val="24"/>
                <w:szCs w:val="24"/>
                <w:vertAlign w:val="superscript"/>
              </w:rPr>
              <w:t>§</w:t>
            </w:r>
          </w:p>
        </w:tc>
      </w:tr>
      <w:tr w:rsidR="00387A7E" w:rsidRPr="005A46FC" w14:paraId="718F1538" w14:textId="77777777" w:rsidTr="00FD3A41">
        <w:tc>
          <w:tcPr>
            <w:tcW w:w="3095" w:type="dxa"/>
            <w:shd w:val="clear" w:color="auto" w:fill="auto"/>
          </w:tcPr>
          <w:p w14:paraId="66BD6EA2" w14:textId="77777777" w:rsidR="00387A7E" w:rsidRPr="005A46FC" w:rsidRDefault="00387A7E"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Системно-органный класс</w:t>
            </w:r>
          </w:p>
        </w:tc>
        <w:tc>
          <w:tcPr>
            <w:tcW w:w="3096" w:type="dxa"/>
            <w:vMerge w:val="restart"/>
            <w:shd w:val="clear" w:color="auto" w:fill="auto"/>
          </w:tcPr>
          <w:p w14:paraId="0C4A3497" w14:textId="77777777" w:rsidR="00387A7E" w:rsidRPr="005A46FC" w:rsidRDefault="00387A7E"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 xml:space="preserve">Терапия ленватинибом </w:t>
            </w:r>
          </w:p>
        </w:tc>
        <w:tc>
          <w:tcPr>
            <w:tcW w:w="3096" w:type="dxa"/>
            <w:vMerge w:val="restart"/>
            <w:shd w:val="clear" w:color="auto" w:fill="auto"/>
          </w:tcPr>
          <w:p w14:paraId="15D04260" w14:textId="77777777" w:rsidR="00387A7E" w:rsidRPr="005A46FC" w:rsidRDefault="00387A7E"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Комбинированная терапия пембролизумабом</w:t>
            </w:r>
          </w:p>
        </w:tc>
      </w:tr>
      <w:tr w:rsidR="00387A7E" w:rsidRPr="005A46FC" w14:paraId="2B11F70D" w14:textId="77777777" w:rsidTr="00FD3A41">
        <w:tc>
          <w:tcPr>
            <w:tcW w:w="3095" w:type="dxa"/>
            <w:shd w:val="clear" w:color="auto" w:fill="auto"/>
          </w:tcPr>
          <w:p w14:paraId="192DF5F7" w14:textId="77777777" w:rsidR="00387A7E" w:rsidRPr="005A46FC" w:rsidRDefault="00387A7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Терминология по </w:t>
            </w:r>
            <w:r w:rsidRPr="005A46FC">
              <w:rPr>
                <w:rFonts w:ascii="Times New Roman" w:hAnsi="Times New Roman"/>
                <w:iCs/>
                <w:sz w:val="24"/>
                <w:szCs w:val="24"/>
                <w:lang w:val="en-US"/>
              </w:rPr>
              <w:t>MedDRA</w:t>
            </w:r>
          </w:p>
        </w:tc>
        <w:tc>
          <w:tcPr>
            <w:tcW w:w="3096" w:type="dxa"/>
            <w:vMerge/>
            <w:shd w:val="clear" w:color="auto" w:fill="auto"/>
          </w:tcPr>
          <w:p w14:paraId="1341B882" w14:textId="77777777" w:rsidR="00387A7E" w:rsidRPr="005A46FC" w:rsidRDefault="00387A7E" w:rsidP="00FD3A41">
            <w:pPr>
              <w:spacing w:after="0" w:line="240" w:lineRule="auto"/>
              <w:jc w:val="both"/>
              <w:rPr>
                <w:rFonts w:ascii="Times New Roman" w:hAnsi="Times New Roman"/>
                <w:iCs/>
                <w:sz w:val="24"/>
                <w:szCs w:val="24"/>
              </w:rPr>
            </w:pPr>
          </w:p>
        </w:tc>
        <w:tc>
          <w:tcPr>
            <w:tcW w:w="3096" w:type="dxa"/>
            <w:vMerge/>
            <w:shd w:val="clear" w:color="auto" w:fill="auto"/>
          </w:tcPr>
          <w:p w14:paraId="5B501A68" w14:textId="77777777" w:rsidR="00387A7E" w:rsidRPr="005A46FC" w:rsidRDefault="00387A7E" w:rsidP="00FD3A41">
            <w:pPr>
              <w:spacing w:after="0" w:line="240" w:lineRule="auto"/>
              <w:jc w:val="both"/>
              <w:rPr>
                <w:rFonts w:ascii="Times New Roman" w:hAnsi="Times New Roman"/>
                <w:iCs/>
                <w:sz w:val="24"/>
                <w:szCs w:val="24"/>
              </w:rPr>
            </w:pPr>
          </w:p>
        </w:tc>
      </w:tr>
      <w:tr w:rsidR="003F6126" w:rsidRPr="005A46FC" w14:paraId="7DBC6271" w14:textId="77777777" w:rsidTr="00FD3A41">
        <w:tc>
          <w:tcPr>
            <w:tcW w:w="9287" w:type="dxa"/>
            <w:gridSpan w:val="3"/>
            <w:shd w:val="clear" w:color="auto" w:fill="auto"/>
          </w:tcPr>
          <w:p w14:paraId="6B3F7D72" w14:textId="77777777" w:rsidR="003F6126" w:rsidRPr="005A46FC" w:rsidRDefault="003F6126"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Инфекции и инвазии</w:t>
            </w:r>
          </w:p>
        </w:tc>
      </w:tr>
      <w:tr w:rsidR="00387A7E" w:rsidRPr="005A46FC" w14:paraId="463FA70A" w14:textId="77777777" w:rsidTr="00FD3A41">
        <w:tc>
          <w:tcPr>
            <w:tcW w:w="3095" w:type="dxa"/>
            <w:shd w:val="clear" w:color="auto" w:fill="auto"/>
          </w:tcPr>
          <w:p w14:paraId="3F1975C6" w14:textId="77777777" w:rsidR="00387A7E"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4EC7F5FC" w14:textId="77777777" w:rsidR="00387A7E"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Инфекции мочевыводящих путей</w:t>
            </w:r>
          </w:p>
        </w:tc>
        <w:tc>
          <w:tcPr>
            <w:tcW w:w="3096" w:type="dxa"/>
            <w:shd w:val="clear" w:color="auto" w:fill="auto"/>
          </w:tcPr>
          <w:p w14:paraId="6834A235" w14:textId="77777777" w:rsidR="00387A7E"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Инфекции мочевыводящих путей</w:t>
            </w:r>
          </w:p>
        </w:tc>
      </w:tr>
      <w:tr w:rsidR="003F6126" w:rsidRPr="005A46FC" w14:paraId="310C9EE3" w14:textId="77777777" w:rsidTr="00FD3A41">
        <w:tc>
          <w:tcPr>
            <w:tcW w:w="3095" w:type="dxa"/>
            <w:shd w:val="clear" w:color="auto" w:fill="auto"/>
          </w:tcPr>
          <w:p w14:paraId="12F81808"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52BEA5E0"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Абсцесс промежности</w:t>
            </w:r>
          </w:p>
        </w:tc>
        <w:tc>
          <w:tcPr>
            <w:tcW w:w="3096" w:type="dxa"/>
            <w:shd w:val="clear" w:color="auto" w:fill="auto"/>
          </w:tcPr>
          <w:p w14:paraId="76EE5A56"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Абсцесс промежности</w:t>
            </w:r>
          </w:p>
        </w:tc>
      </w:tr>
      <w:tr w:rsidR="003F6126" w:rsidRPr="005A46FC" w14:paraId="23C40B7A" w14:textId="77777777" w:rsidTr="00FD3A41">
        <w:tc>
          <w:tcPr>
            <w:tcW w:w="9287" w:type="dxa"/>
            <w:gridSpan w:val="3"/>
            <w:shd w:val="clear" w:color="auto" w:fill="auto"/>
          </w:tcPr>
          <w:p w14:paraId="4C3837DE" w14:textId="77777777" w:rsidR="003F6126" w:rsidRPr="005A46FC" w:rsidRDefault="003F6126"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Нарушения со стороны кровеносной и лимфатической системы</w:t>
            </w:r>
          </w:p>
        </w:tc>
      </w:tr>
      <w:tr w:rsidR="003F6126" w:rsidRPr="005A46FC" w14:paraId="753FCBD8" w14:textId="77777777" w:rsidTr="00FD3A41">
        <w:tc>
          <w:tcPr>
            <w:tcW w:w="3095" w:type="dxa"/>
            <w:shd w:val="clear" w:color="auto" w:fill="auto"/>
          </w:tcPr>
          <w:p w14:paraId="32F91A44"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19717F78"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Тромбоцитопения</w:t>
            </w:r>
            <w:r w:rsidRPr="005A46FC">
              <w:rPr>
                <w:rFonts w:ascii="Times New Roman" w:hAnsi="Times New Roman"/>
                <w:iCs/>
                <w:sz w:val="24"/>
                <w:szCs w:val="24"/>
                <w:vertAlign w:val="superscript"/>
              </w:rPr>
              <w:t>a,</w:t>
            </w:r>
            <w:r w:rsidR="00DF0E60" w:rsidRPr="005A46FC">
              <w:rPr>
                <w:rFonts w:ascii="Times New Roman" w:hAnsi="Times New Roman"/>
                <w:iCs/>
                <w:sz w:val="24"/>
                <w:szCs w:val="24"/>
                <w:vertAlign w:val="superscript"/>
              </w:rPr>
              <w:t>++</w:t>
            </w:r>
            <w:r w:rsidRPr="005A46FC">
              <w:rPr>
                <w:rFonts w:ascii="Times New Roman" w:hAnsi="Times New Roman"/>
                <w:iCs/>
                <w:sz w:val="24"/>
                <w:szCs w:val="24"/>
                <w:vertAlign w:val="superscript"/>
              </w:rPr>
              <w:t xml:space="preserve"> </w:t>
            </w:r>
            <w:r w:rsidRPr="005A46FC">
              <w:rPr>
                <w:rFonts w:ascii="Times New Roman" w:hAnsi="Times New Roman"/>
                <w:iCs/>
                <w:sz w:val="24"/>
                <w:szCs w:val="24"/>
              </w:rPr>
              <w:t>Лимфопения</w:t>
            </w:r>
            <w:r w:rsidRPr="005A46FC">
              <w:rPr>
                <w:rFonts w:ascii="Times New Roman" w:hAnsi="Times New Roman"/>
                <w:iCs/>
                <w:sz w:val="24"/>
                <w:szCs w:val="24"/>
                <w:vertAlign w:val="superscript"/>
              </w:rPr>
              <w:t>a,</w:t>
            </w:r>
            <w:r w:rsidR="00DF0E60" w:rsidRPr="005A46FC">
              <w:rPr>
                <w:rFonts w:ascii="Times New Roman" w:hAnsi="Times New Roman"/>
                <w:iCs/>
                <w:sz w:val="24"/>
                <w:szCs w:val="24"/>
                <w:vertAlign w:val="superscript"/>
              </w:rPr>
              <w:t>++</w:t>
            </w:r>
          </w:p>
          <w:p w14:paraId="3233CD20"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Лейкопения</w:t>
            </w:r>
            <w:r w:rsidRPr="005A46FC">
              <w:rPr>
                <w:rFonts w:ascii="Times New Roman" w:hAnsi="Times New Roman"/>
                <w:iCs/>
                <w:sz w:val="24"/>
                <w:szCs w:val="24"/>
                <w:vertAlign w:val="superscript"/>
              </w:rPr>
              <w:t>а,</w:t>
            </w:r>
            <w:r w:rsidR="00DF0E60" w:rsidRPr="005A46FC">
              <w:rPr>
                <w:rFonts w:ascii="Times New Roman" w:hAnsi="Times New Roman"/>
                <w:iCs/>
                <w:sz w:val="24"/>
                <w:szCs w:val="24"/>
                <w:vertAlign w:val="superscript"/>
              </w:rPr>
              <w:t>++</w:t>
            </w:r>
          </w:p>
          <w:p w14:paraId="085116C0"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Нейтропения</w:t>
            </w:r>
            <w:r w:rsidRPr="005A46FC">
              <w:rPr>
                <w:rFonts w:ascii="Times New Roman" w:hAnsi="Times New Roman"/>
                <w:iCs/>
                <w:sz w:val="24"/>
                <w:szCs w:val="24"/>
                <w:vertAlign w:val="superscript"/>
              </w:rPr>
              <w:t>a,</w:t>
            </w:r>
            <w:r w:rsidR="00DF0E60" w:rsidRPr="005A46FC">
              <w:rPr>
                <w:rFonts w:ascii="Times New Roman" w:hAnsi="Times New Roman"/>
                <w:iCs/>
                <w:sz w:val="24"/>
                <w:szCs w:val="24"/>
                <w:vertAlign w:val="superscript"/>
              </w:rPr>
              <w:t>++</w:t>
            </w:r>
          </w:p>
        </w:tc>
        <w:tc>
          <w:tcPr>
            <w:tcW w:w="3096" w:type="dxa"/>
            <w:shd w:val="clear" w:color="auto" w:fill="auto"/>
          </w:tcPr>
          <w:p w14:paraId="29E27A39"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Тромбоцитопения</w:t>
            </w:r>
            <w:r w:rsidRPr="005A46FC">
              <w:rPr>
                <w:rFonts w:ascii="Times New Roman" w:hAnsi="Times New Roman"/>
                <w:iCs/>
                <w:sz w:val="24"/>
                <w:szCs w:val="24"/>
                <w:vertAlign w:val="superscript"/>
              </w:rPr>
              <w:t>a,</w:t>
            </w:r>
            <w:r w:rsidR="00DF0E60" w:rsidRPr="005A46FC">
              <w:rPr>
                <w:rFonts w:ascii="Times New Roman" w:hAnsi="Times New Roman"/>
                <w:iCs/>
                <w:sz w:val="24"/>
                <w:szCs w:val="24"/>
                <w:vertAlign w:val="superscript"/>
              </w:rPr>
              <w:t>++</w:t>
            </w:r>
          </w:p>
          <w:p w14:paraId="7077B891"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Лимфопения</w:t>
            </w:r>
            <w:r w:rsidRPr="005A46FC">
              <w:rPr>
                <w:rFonts w:ascii="Times New Roman" w:hAnsi="Times New Roman"/>
                <w:iCs/>
                <w:sz w:val="24"/>
                <w:szCs w:val="24"/>
                <w:vertAlign w:val="superscript"/>
              </w:rPr>
              <w:t>a,</w:t>
            </w:r>
            <w:r w:rsidR="00DF0E60" w:rsidRPr="005A46FC">
              <w:rPr>
                <w:rFonts w:ascii="Times New Roman" w:hAnsi="Times New Roman"/>
                <w:iCs/>
                <w:sz w:val="24"/>
                <w:szCs w:val="24"/>
                <w:vertAlign w:val="superscript"/>
              </w:rPr>
              <w:t>++</w:t>
            </w:r>
          </w:p>
          <w:p w14:paraId="3BF0870A"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Лейкопения</w:t>
            </w:r>
            <w:r w:rsidRPr="005A46FC">
              <w:rPr>
                <w:rFonts w:ascii="Times New Roman" w:hAnsi="Times New Roman"/>
                <w:iCs/>
                <w:sz w:val="24"/>
                <w:szCs w:val="24"/>
                <w:vertAlign w:val="superscript"/>
              </w:rPr>
              <w:t>а,</w:t>
            </w:r>
            <w:r w:rsidR="00DF0E60" w:rsidRPr="005A46FC">
              <w:rPr>
                <w:rFonts w:ascii="Times New Roman" w:hAnsi="Times New Roman"/>
                <w:iCs/>
                <w:sz w:val="24"/>
                <w:szCs w:val="24"/>
                <w:vertAlign w:val="superscript"/>
              </w:rPr>
              <w:t>++</w:t>
            </w:r>
          </w:p>
          <w:p w14:paraId="157967EC"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Нейтропения</w:t>
            </w:r>
            <w:r w:rsidRPr="005A46FC">
              <w:rPr>
                <w:rFonts w:ascii="Times New Roman" w:hAnsi="Times New Roman"/>
                <w:iCs/>
                <w:sz w:val="24"/>
                <w:szCs w:val="24"/>
                <w:vertAlign w:val="superscript"/>
              </w:rPr>
              <w:t>a,</w:t>
            </w:r>
            <w:r w:rsidR="00DF0E60" w:rsidRPr="005A46FC">
              <w:rPr>
                <w:rFonts w:ascii="Times New Roman" w:hAnsi="Times New Roman"/>
                <w:iCs/>
                <w:sz w:val="24"/>
                <w:szCs w:val="24"/>
                <w:vertAlign w:val="superscript"/>
              </w:rPr>
              <w:t>++</w:t>
            </w:r>
          </w:p>
          <w:p w14:paraId="6D9481AD"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Анемия</w:t>
            </w:r>
          </w:p>
        </w:tc>
      </w:tr>
      <w:tr w:rsidR="003F6126" w:rsidRPr="005A46FC" w14:paraId="147A6943" w14:textId="77777777" w:rsidTr="00FD3A41">
        <w:tc>
          <w:tcPr>
            <w:tcW w:w="3095" w:type="dxa"/>
            <w:shd w:val="clear" w:color="auto" w:fill="auto"/>
          </w:tcPr>
          <w:p w14:paraId="2B7C235E"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54659767"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Инфаркт селезенки</w:t>
            </w:r>
          </w:p>
        </w:tc>
        <w:tc>
          <w:tcPr>
            <w:tcW w:w="3096" w:type="dxa"/>
            <w:shd w:val="clear" w:color="auto" w:fill="auto"/>
          </w:tcPr>
          <w:p w14:paraId="586E247B" w14:textId="77777777" w:rsidR="003F6126" w:rsidRPr="005A46FC" w:rsidRDefault="003F6126" w:rsidP="00FD3A41">
            <w:pPr>
              <w:spacing w:after="0" w:line="240" w:lineRule="auto"/>
              <w:jc w:val="both"/>
              <w:rPr>
                <w:rFonts w:ascii="Times New Roman" w:hAnsi="Times New Roman"/>
                <w:iCs/>
                <w:sz w:val="24"/>
                <w:szCs w:val="24"/>
              </w:rPr>
            </w:pPr>
          </w:p>
        </w:tc>
      </w:tr>
      <w:tr w:rsidR="003F6126" w:rsidRPr="005A46FC" w14:paraId="20F27180" w14:textId="77777777" w:rsidTr="00FD3A41">
        <w:tc>
          <w:tcPr>
            <w:tcW w:w="9287" w:type="dxa"/>
            <w:gridSpan w:val="3"/>
            <w:shd w:val="clear" w:color="auto" w:fill="auto"/>
          </w:tcPr>
          <w:p w14:paraId="3724FC5E" w14:textId="77777777" w:rsidR="003F6126" w:rsidRPr="005A46FC" w:rsidRDefault="003F6126"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Эндокринные нарушения</w:t>
            </w:r>
          </w:p>
        </w:tc>
      </w:tr>
      <w:tr w:rsidR="003F6126" w:rsidRPr="005A46FC" w14:paraId="5904DAED" w14:textId="77777777" w:rsidTr="00FD3A41">
        <w:tc>
          <w:tcPr>
            <w:tcW w:w="3095" w:type="dxa"/>
            <w:shd w:val="clear" w:color="auto" w:fill="auto"/>
          </w:tcPr>
          <w:p w14:paraId="0FF8FCB1"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5E02C6D3"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Гипотиреоз</w:t>
            </w:r>
          </w:p>
          <w:p w14:paraId="2B927328" w14:textId="77777777" w:rsidR="003F6126"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Повышение уровня тиреотропного гормона в крови</w:t>
            </w:r>
            <w:r w:rsidRPr="005A46FC">
              <w:rPr>
                <w:rFonts w:ascii="Times New Roman" w:hAnsi="Times New Roman"/>
                <w:iCs/>
                <w:sz w:val="24"/>
                <w:szCs w:val="24"/>
                <w:vertAlign w:val="superscript"/>
              </w:rPr>
              <w:t>*,</w:t>
            </w:r>
            <w:r w:rsidR="0089230B" w:rsidRPr="005A46FC">
              <w:rPr>
                <w:rFonts w:ascii="Times New Roman" w:hAnsi="Times New Roman"/>
                <w:iCs/>
                <w:sz w:val="24"/>
                <w:szCs w:val="24"/>
                <w:vertAlign w:val="superscript"/>
              </w:rPr>
              <w:t>++</w:t>
            </w:r>
          </w:p>
        </w:tc>
        <w:tc>
          <w:tcPr>
            <w:tcW w:w="3096" w:type="dxa"/>
            <w:shd w:val="clear" w:color="auto" w:fill="auto"/>
          </w:tcPr>
          <w:p w14:paraId="2C588B97"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Гипотиреоз</w:t>
            </w:r>
          </w:p>
          <w:p w14:paraId="5BEFF353" w14:textId="77777777" w:rsidR="003F6126"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Повышение уровня тиреотропного гормона в крови*,</w:t>
            </w:r>
          </w:p>
          <w:p w14:paraId="1F569E55"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гипертиреоз</w:t>
            </w:r>
          </w:p>
        </w:tc>
      </w:tr>
      <w:tr w:rsidR="00B747C6" w:rsidRPr="005A46FC" w14:paraId="54B93D80" w14:textId="77777777" w:rsidTr="00FD3A41">
        <w:tc>
          <w:tcPr>
            <w:tcW w:w="3095" w:type="dxa"/>
            <w:shd w:val="clear" w:color="auto" w:fill="auto"/>
          </w:tcPr>
          <w:p w14:paraId="2A4F8AD8" w14:textId="77777777" w:rsidR="00B747C6" w:rsidRPr="005A46FC" w:rsidRDefault="00B747C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488E44A7" w14:textId="77777777" w:rsidR="00B747C6" w:rsidRPr="005A46FC" w:rsidRDefault="00B747C6" w:rsidP="00FD3A41">
            <w:pPr>
              <w:spacing w:after="0" w:line="240" w:lineRule="auto"/>
              <w:jc w:val="both"/>
              <w:rPr>
                <w:rFonts w:ascii="Times New Roman" w:hAnsi="Times New Roman"/>
                <w:iCs/>
                <w:sz w:val="24"/>
                <w:szCs w:val="24"/>
              </w:rPr>
            </w:pPr>
          </w:p>
        </w:tc>
        <w:tc>
          <w:tcPr>
            <w:tcW w:w="3096" w:type="dxa"/>
            <w:shd w:val="clear" w:color="auto" w:fill="auto"/>
          </w:tcPr>
          <w:p w14:paraId="14EC9FC0" w14:textId="77777777" w:rsidR="00B747C6" w:rsidRPr="005A46FC" w:rsidRDefault="00B747C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Надпочечниковая недостаточность</w:t>
            </w:r>
          </w:p>
        </w:tc>
      </w:tr>
      <w:tr w:rsidR="00B747C6" w:rsidRPr="005A46FC" w14:paraId="57B81D53" w14:textId="77777777" w:rsidTr="00FD3A41">
        <w:tc>
          <w:tcPr>
            <w:tcW w:w="3095" w:type="dxa"/>
            <w:shd w:val="clear" w:color="auto" w:fill="auto"/>
          </w:tcPr>
          <w:p w14:paraId="61792C8B" w14:textId="77777777" w:rsidR="00B747C6" w:rsidRPr="005A46FC" w:rsidRDefault="00B747C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00AEB08F" w14:textId="77777777" w:rsidR="00B747C6" w:rsidRPr="005A46FC" w:rsidRDefault="00B747C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Надпочечниковая недостаточность</w:t>
            </w:r>
          </w:p>
        </w:tc>
        <w:tc>
          <w:tcPr>
            <w:tcW w:w="3096" w:type="dxa"/>
            <w:shd w:val="clear" w:color="auto" w:fill="auto"/>
          </w:tcPr>
          <w:p w14:paraId="48B80C2E" w14:textId="77777777" w:rsidR="00B747C6" w:rsidRPr="005A46FC" w:rsidRDefault="00B747C6" w:rsidP="00FD3A41">
            <w:pPr>
              <w:spacing w:after="0" w:line="240" w:lineRule="auto"/>
              <w:jc w:val="both"/>
              <w:rPr>
                <w:rFonts w:ascii="Times New Roman" w:hAnsi="Times New Roman"/>
                <w:iCs/>
                <w:sz w:val="24"/>
                <w:szCs w:val="24"/>
              </w:rPr>
            </w:pPr>
          </w:p>
        </w:tc>
      </w:tr>
      <w:tr w:rsidR="00662F64" w:rsidRPr="005A46FC" w14:paraId="231398C0" w14:textId="77777777" w:rsidTr="00FD3A41">
        <w:tc>
          <w:tcPr>
            <w:tcW w:w="9287" w:type="dxa"/>
            <w:gridSpan w:val="3"/>
            <w:shd w:val="clear" w:color="auto" w:fill="auto"/>
          </w:tcPr>
          <w:p w14:paraId="4D49CB93" w14:textId="77777777" w:rsidR="00662F64" w:rsidRPr="005A46FC" w:rsidRDefault="00662F64"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Нарушение обмена веществ и питания</w:t>
            </w:r>
          </w:p>
        </w:tc>
      </w:tr>
      <w:tr w:rsidR="00387A7E" w:rsidRPr="005A46FC" w14:paraId="3F455F3B" w14:textId="77777777" w:rsidTr="00FD3A41">
        <w:tc>
          <w:tcPr>
            <w:tcW w:w="3095" w:type="dxa"/>
            <w:shd w:val="clear" w:color="auto" w:fill="auto"/>
          </w:tcPr>
          <w:p w14:paraId="41D7C921" w14:textId="77777777" w:rsidR="00387A7E"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0E4BC67E"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Гипокальциемия</w:t>
            </w:r>
            <w:r w:rsidRPr="005A46FC">
              <w:rPr>
                <w:rFonts w:ascii="Times New Roman" w:hAnsi="Times New Roman"/>
                <w:iCs/>
                <w:sz w:val="24"/>
                <w:szCs w:val="24"/>
                <w:vertAlign w:val="superscript"/>
              </w:rPr>
              <w:t>*,</w:t>
            </w:r>
            <w:r w:rsidR="0089230B" w:rsidRPr="005A46FC">
              <w:rPr>
                <w:rFonts w:ascii="Times New Roman" w:hAnsi="Times New Roman"/>
                <w:iCs/>
                <w:sz w:val="24"/>
                <w:szCs w:val="24"/>
                <w:vertAlign w:val="superscript"/>
              </w:rPr>
              <w:t>++</w:t>
            </w:r>
          </w:p>
          <w:p w14:paraId="0C0A788A"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Гипокалиемия</w:t>
            </w:r>
            <w:r w:rsidR="0089230B" w:rsidRPr="005A46FC">
              <w:rPr>
                <w:rFonts w:ascii="Times New Roman" w:hAnsi="Times New Roman"/>
                <w:iCs/>
                <w:sz w:val="24"/>
                <w:szCs w:val="24"/>
                <w:vertAlign w:val="superscript"/>
              </w:rPr>
              <w:t>++</w:t>
            </w:r>
          </w:p>
          <w:p w14:paraId="08BEF26B"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Гиперхолестеринемия</w:t>
            </w:r>
            <w:r w:rsidRPr="005A46FC">
              <w:rPr>
                <w:rFonts w:ascii="Times New Roman" w:hAnsi="Times New Roman"/>
                <w:iCs/>
                <w:sz w:val="24"/>
                <w:szCs w:val="24"/>
                <w:vertAlign w:val="superscript"/>
              </w:rPr>
              <w:t>b,</w:t>
            </w:r>
            <w:r w:rsidR="0089230B" w:rsidRPr="005A46FC">
              <w:rPr>
                <w:rFonts w:ascii="Times New Roman" w:hAnsi="Times New Roman"/>
                <w:iCs/>
                <w:sz w:val="24"/>
                <w:szCs w:val="24"/>
                <w:vertAlign w:val="superscript"/>
              </w:rPr>
              <w:t>++</w:t>
            </w:r>
          </w:p>
          <w:p w14:paraId="2066B3C3" w14:textId="77777777" w:rsidR="00662F64" w:rsidRPr="005A46FC" w:rsidRDefault="00662F64"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lastRenderedPageBreak/>
              <w:t>Гипомагниемия</w:t>
            </w:r>
            <w:r w:rsidRPr="005A46FC">
              <w:rPr>
                <w:rFonts w:ascii="Times New Roman" w:hAnsi="Times New Roman"/>
                <w:iCs/>
                <w:sz w:val="24"/>
                <w:szCs w:val="24"/>
                <w:vertAlign w:val="superscript"/>
              </w:rPr>
              <w:t>b,</w:t>
            </w:r>
            <w:r w:rsidR="0089230B" w:rsidRPr="005A46FC">
              <w:rPr>
                <w:rFonts w:ascii="Times New Roman" w:hAnsi="Times New Roman"/>
                <w:iCs/>
                <w:sz w:val="24"/>
                <w:szCs w:val="24"/>
                <w:vertAlign w:val="superscript"/>
              </w:rPr>
              <w:t>++</w:t>
            </w:r>
          </w:p>
          <w:p w14:paraId="1F0AFEDB" w14:textId="77777777" w:rsidR="00387A7E"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Снижение веса</w:t>
            </w:r>
          </w:p>
          <w:p w14:paraId="03DFE82F" w14:textId="77777777" w:rsidR="00B747C6" w:rsidRPr="005A46FC" w:rsidRDefault="00B747C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Снижение аппетита</w:t>
            </w:r>
          </w:p>
        </w:tc>
        <w:tc>
          <w:tcPr>
            <w:tcW w:w="3096" w:type="dxa"/>
            <w:shd w:val="clear" w:color="auto" w:fill="auto"/>
          </w:tcPr>
          <w:p w14:paraId="3FDB17A2"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Гипокальциемия</w:t>
            </w:r>
            <w:r w:rsidRPr="005A46FC">
              <w:rPr>
                <w:rFonts w:ascii="Times New Roman" w:hAnsi="Times New Roman"/>
                <w:iCs/>
                <w:sz w:val="24"/>
                <w:szCs w:val="24"/>
                <w:vertAlign w:val="superscript"/>
              </w:rPr>
              <w:t>*,</w:t>
            </w:r>
            <w:r w:rsidR="0089230B" w:rsidRPr="005A46FC">
              <w:rPr>
                <w:rFonts w:ascii="Times New Roman" w:hAnsi="Times New Roman"/>
                <w:iCs/>
                <w:sz w:val="24"/>
                <w:szCs w:val="24"/>
                <w:vertAlign w:val="superscript"/>
              </w:rPr>
              <w:t>++</w:t>
            </w:r>
          </w:p>
          <w:p w14:paraId="53268368"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Гипокалиемия</w:t>
            </w:r>
            <w:r w:rsidR="0089230B" w:rsidRPr="005A46FC">
              <w:rPr>
                <w:rFonts w:ascii="Times New Roman" w:hAnsi="Times New Roman"/>
                <w:iCs/>
                <w:sz w:val="24"/>
                <w:szCs w:val="24"/>
                <w:vertAlign w:val="superscript"/>
              </w:rPr>
              <w:t>++</w:t>
            </w:r>
          </w:p>
          <w:p w14:paraId="078C19A8"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Гиперхолестеринемия</w:t>
            </w:r>
            <w:r w:rsidRPr="005A46FC">
              <w:rPr>
                <w:rFonts w:ascii="Times New Roman" w:hAnsi="Times New Roman"/>
                <w:iCs/>
                <w:sz w:val="24"/>
                <w:szCs w:val="24"/>
                <w:vertAlign w:val="superscript"/>
              </w:rPr>
              <w:t>b,</w:t>
            </w:r>
            <w:r w:rsidR="0089230B" w:rsidRPr="005A46FC">
              <w:rPr>
                <w:rFonts w:ascii="Times New Roman" w:hAnsi="Times New Roman"/>
                <w:iCs/>
                <w:sz w:val="24"/>
                <w:szCs w:val="24"/>
                <w:vertAlign w:val="superscript"/>
              </w:rPr>
              <w:t>++</w:t>
            </w:r>
          </w:p>
          <w:p w14:paraId="24C0F296" w14:textId="77777777" w:rsidR="00662F64" w:rsidRPr="005A46FC" w:rsidRDefault="00662F64"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lastRenderedPageBreak/>
              <w:t>Гипомагниемия</w:t>
            </w:r>
            <w:r w:rsidRPr="005A46FC">
              <w:rPr>
                <w:rFonts w:ascii="Times New Roman" w:hAnsi="Times New Roman"/>
                <w:iCs/>
                <w:sz w:val="24"/>
                <w:szCs w:val="24"/>
                <w:vertAlign w:val="superscript"/>
              </w:rPr>
              <w:t>b,</w:t>
            </w:r>
            <w:r w:rsidR="0089230B" w:rsidRPr="005A46FC">
              <w:rPr>
                <w:rFonts w:ascii="Times New Roman" w:hAnsi="Times New Roman"/>
                <w:iCs/>
                <w:sz w:val="24"/>
                <w:szCs w:val="24"/>
                <w:vertAlign w:val="superscript"/>
              </w:rPr>
              <w:t>++</w:t>
            </w:r>
          </w:p>
          <w:p w14:paraId="192732F2" w14:textId="77777777" w:rsidR="00387A7E"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Снижение веса,</w:t>
            </w:r>
          </w:p>
          <w:p w14:paraId="0FDA2836"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Снижение аппетита</w:t>
            </w:r>
          </w:p>
        </w:tc>
      </w:tr>
      <w:tr w:rsidR="00662F64" w:rsidRPr="005A46FC" w14:paraId="0D241739" w14:textId="77777777" w:rsidTr="00FD3A41">
        <w:tc>
          <w:tcPr>
            <w:tcW w:w="3095" w:type="dxa"/>
            <w:shd w:val="clear" w:color="auto" w:fill="auto"/>
          </w:tcPr>
          <w:p w14:paraId="63633C70"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Часто</w:t>
            </w:r>
          </w:p>
        </w:tc>
        <w:tc>
          <w:tcPr>
            <w:tcW w:w="3096" w:type="dxa"/>
            <w:shd w:val="clear" w:color="auto" w:fill="auto"/>
          </w:tcPr>
          <w:p w14:paraId="71128501"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Обезвоживание</w:t>
            </w:r>
          </w:p>
        </w:tc>
        <w:tc>
          <w:tcPr>
            <w:tcW w:w="3096" w:type="dxa"/>
            <w:shd w:val="clear" w:color="auto" w:fill="auto"/>
          </w:tcPr>
          <w:p w14:paraId="6E855BEA"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Обезвоживание</w:t>
            </w:r>
          </w:p>
        </w:tc>
      </w:tr>
      <w:tr w:rsidR="00662F64" w:rsidRPr="005A46FC" w14:paraId="3844F244" w14:textId="77777777" w:rsidTr="00FD3A41">
        <w:tc>
          <w:tcPr>
            <w:tcW w:w="9287" w:type="dxa"/>
            <w:gridSpan w:val="3"/>
            <w:shd w:val="clear" w:color="auto" w:fill="auto"/>
          </w:tcPr>
          <w:p w14:paraId="3C9B98E2" w14:textId="77777777" w:rsidR="00662F64" w:rsidRPr="005A46FC" w:rsidRDefault="00662F64"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Психические нарушения</w:t>
            </w:r>
          </w:p>
        </w:tc>
      </w:tr>
      <w:tr w:rsidR="00662F64" w:rsidRPr="005A46FC" w14:paraId="29403DF8" w14:textId="77777777" w:rsidTr="00FD3A41">
        <w:tc>
          <w:tcPr>
            <w:tcW w:w="3095" w:type="dxa"/>
            <w:shd w:val="clear" w:color="auto" w:fill="auto"/>
          </w:tcPr>
          <w:p w14:paraId="480EDE37"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7D6FB0B4"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Бессонница</w:t>
            </w:r>
          </w:p>
        </w:tc>
        <w:tc>
          <w:tcPr>
            <w:tcW w:w="3096" w:type="dxa"/>
            <w:shd w:val="clear" w:color="auto" w:fill="auto"/>
          </w:tcPr>
          <w:p w14:paraId="40DAE998" w14:textId="77777777" w:rsidR="00662F64" w:rsidRPr="005A46FC" w:rsidRDefault="00662F64" w:rsidP="00FD3A41">
            <w:pPr>
              <w:spacing w:after="0" w:line="240" w:lineRule="auto"/>
              <w:jc w:val="both"/>
              <w:rPr>
                <w:rFonts w:ascii="Times New Roman" w:hAnsi="Times New Roman"/>
                <w:iCs/>
                <w:sz w:val="24"/>
                <w:szCs w:val="24"/>
              </w:rPr>
            </w:pPr>
          </w:p>
        </w:tc>
      </w:tr>
      <w:tr w:rsidR="00662F64" w:rsidRPr="005A46FC" w14:paraId="0F82AE18" w14:textId="77777777" w:rsidTr="00FD3A41">
        <w:tc>
          <w:tcPr>
            <w:tcW w:w="3095" w:type="dxa"/>
            <w:shd w:val="clear" w:color="auto" w:fill="auto"/>
          </w:tcPr>
          <w:p w14:paraId="20960D17"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3780F576" w14:textId="77777777" w:rsidR="00662F64" w:rsidRPr="005A46FC" w:rsidRDefault="00662F64" w:rsidP="00FD3A41">
            <w:pPr>
              <w:spacing w:after="0" w:line="240" w:lineRule="auto"/>
              <w:jc w:val="both"/>
              <w:rPr>
                <w:rFonts w:ascii="Times New Roman" w:hAnsi="Times New Roman"/>
                <w:iCs/>
                <w:sz w:val="24"/>
                <w:szCs w:val="24"/>
              </w:rPr>
            </w:pPr>
          </w:p>
        </w:tc>
        <w:tc>
          <w:tcPr>
            <w:tcW w:w="3096" w:type="dxa"/>
            <w:shd w:val="clear" w:color="auto" w:fill="auto"/>
          </w:tcPr>
          <w:p w14:paraId="69557BFE"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Бессонница</w:t>
            </w:r>
          </w:p>
        </w:tc>
      </w:tr>
      <w:tr w:rsidR="00662F64" w:rsidRPr="005A46FC" w14:paraId="590FFF07" w14:textId="77777777" w:rsidTr="00FD3A41">
        <w:tc>
          <w:tcPr>
            <w:tcW w:w="9287" w:type="dxa"/>
            <w:gridSpan w:val="3"/>
            <w:shd w:val="clear" w:color="auto" w:fill="auto"/>
          </w:tcPr>
          <w:p w14:paraId="235D9AFF" w14:textId="77777777" w:rsidR="00662F64" w:rsidRPr="005A46FC" w:rsidRDefault="00662F64"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Расстройства нервной системы</w:t>
            </w:r>
          </w:p>
        </w:tc>
      </w:tr>
      <w:tr w:rsidR="00662F64" w:rsidRPr="005A46FC" w14:paraId="12BEB77B" w14:textId="77777777" w:rsidTr="00FD3A41">
        <w:tc>
          <w:tcPr>
            <w:tcW w:w="3095" w:type="dxa"/>
            <w:shd w:val="clear" w:color="auto" w:fill="auto"/>
          </w:tcPr>
          <w:p w14:paraId="55B799F1"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7F9989B0"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Головокружение, головная боль, нарушение вкуса</w:t>
            </w:r>
          </w:p>
        </w:tc>
        <w:tc>
          <w:tcPr>
            <w:tcW w:w="3096" w:type="dxa"/>
            <w:shd w:val="clear" w:color="auto" w:fill="auto"/>
          </w:tcPr>
          <w:p w14:paraId="40442EA8"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Головокружение, головная боль, нарушение вкуса</w:t>
            </w:r>
          </w:p>
        </w:tc>
      </w:tr>
      <w:tr w:rsidR="00662F64" w:rsidRPr="005A46FC" w14:paraId="422DA730" w14:textId="77777777" w:rsidTr="00FD3A41">
        <w:tc>
          <w:tcPr>
            <w:tcW w:w="3095" w:type="dxa"/>
            <w:shd w:val="clear" w:color="auto" w:fill="auto"/>
          </w:tcPr>
          <w:p w14:paraId="399191FF"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209AB2D7"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Нарушение мозгового кровообращения</w:t>
            </w:r>
            <w:r w:rsidRPr="005A46FC">
              <w:rPr>
                <w:rFonts w:ascii="Times New Roman" w:hAnsi="Times New Roman"/>
                <w:iCs/>
                <w:sz w:val="24"/>
                <w:szCs w:val="24"/>
                <w:vertAlign w:val="superscript"/>
              </w:rPr>
              <w:t>+</w:t>
            </w:r>
          </w:p>
        </w:tc>
        <w:tc>
          <w:tcPr>
            <w:tcW w:w="3096" w:type="dxa"/>
            <w:shd w:val="clear" w:color="auto" w:fill="auto"/>
          </w:tcPr>
          <w:p w14:paraId="69CB955B" w14:textId="77777777" w:rsidR="00662F64" w:rsidRPr="005A46FC" w:rsidRDefault="00662F64" w:rsidP="00FD3A41">
            <w:pPr>
              <w:spacing w:after="0" w:line="240" w:lineRule="auto"/>
              <w:jc w:val="both"/>
              <w:rPr>
                <w:rFonts w:ascii="Times New Roman" w:hAnsi="Times New Roman"/>
                <w:iCs/>
                <w:sz w:val="24"/>
                <w:szCs w:val="24"/>
              </w:rPr>
            </w:pPr>
          </w:p>
        </w:tc>
      </w:tr>
      <w:tr w:rsidR="00662F64" w:rsidRPr="005A46FC" w14:paraId="77C4F318" w14:textId="77777777" w:rsidTr="00FD3A41">
        <w:tc>
          <w:tcPr>
            <w:tcW w:w="3095" w:type="dxa"/>
            <w:shd w:val="clear" w:color="auto" w:fill="auto"/>
          </w:tcPr>
          <w:p w14:paraId="6C73C230"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2FED9EE7"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Синдром задней обратимой энцефалопатии, монопарез, транзиторная ишемическая атака</w:t>
            </w:r>
          </w:p>
        </w:tc>
        <w:tc>
          <w:tcPr>
            <w:tcW w:w="3096" w:type="dxa"/>
            <w:shd w:val="clear" w:color="auto" w:fill="auto"/>
          </w:tcPr>
          <w:p w14:paraId="49F5DA4F"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Синдром задней обратимой энцефалопатии, Нарушение мозгового кровообращения</w:t>
            </w:r>
            <w:r w:rsidRPr="005A46FC">
              <w:rPr>
                <w:rFonts w:ascii="Times New Roman" w:hAnsi="Times New Roman"/>
                <w:iCs/>
                <w:sz w:val="24"/>
                <w:szCs w:val="24"/>
                <w:vertAlign w:val="superscript"/>
              </w:rPr>
              <w:t>+</w:t>
            </w:r>
            <w:r w:rsidRPr="005A46FC">
              <w:rPr>
                <w:rFonts w:ascii="Times New Roman" w:hAnsi="Times New Roman"/>
                <w:iCs/>
                <w:sz w:val="24"/>
                <w:szCs w:val="24"/>
              </w:rPr>
              <w:t>, монопарез, транзиторная ишемическая атака</w:t>
            </w:r>
          </w:p>
        </w:tc>
      </w:tr>
      <w:tr w:rsidR="00EA5D5C" w:rsidRPr="005A46FC" w14:paraId="2469B724" w14:textId="77777777" w:rsidTr="00FD3A41">
        <w:tc>
          <w:tcPr>
            <w:tcW w:w="9287" w:type="dxa"/>
            <w:gridSpan w:val="3"/>
            <w:shd w:val="clear" w:color="auto" w:fill="auto"/>
          </w:tcPr>
          <w:p w14:paraId="59AEDD39" w14:textId="77777777" w:rsidR="00EA5D5C" w:rsidRPr="005A46FC" w:rsidRDefault="00EA5D5C"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Нарушения со стороны сердца</w:t>
            </w:r>
          </w:p>
        </w:tc>
      </w:tr>
      <w:tr w:rsidR="00662F64" w:rsidRPr="005A46FC" w14:paraId="62EDE3A3" w14:textId="77777777" w:rsidTr="00FD3A41">
        <w:tc>
          <w:tcPr>
            <w:tcW w:w="3095" w:type="dxa"/>
            <w:shd w:val="clear" w:color="auto" w:fill="auto"/>
          </w:tcPr>
          <w:p w14:paraId="06A394FB"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4C971DCD" w14:textId="77777777" w:rsidR="00662F64" w:rsidRPr="005A46FC" w:rsidRDefault="00EA5D5C"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Инфаркт миокарда</w:t>
            </w:r>
            <w:r w:rsidRPr="005A46FC">
              <w:rPr>
                <w:rFonts w:ascii="Times New Roman" w:hAnsi="Times New Roman"/>
                <w:iCs/>
                <w:sz w:val="24"/>
                <w:szCs w:val="24"/>
                <w:vertAlign w:val="superscript"/>
              </w:rPr>
              <w:t>с,+</w:t>
            </w:r>
            <w:r w:rsidRPr="005A46FC">
              <w:rPr>
                <w:rFonts w:ascii="Times New Roman" w:hAnsi="Times New Roman"/>
                <w:iCs/>
                <w:sz w:val="24"/>
                <w:szCs w:val="24"/>
              </w:rPr>
              <w:t>,</w:t>
            </w:r>
          </w:p>
          <w:p w14:paraId="5C5F194A"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Сердечная недостаточность, Удлиненный интервал QT на электрокардиограмме, Снижение фракции выброса</w:t>
            </w:r>
          </w:p>
        </w:tc>
        <w:tc>
          <w:tcPr>
            <w:tcW w:w="3096" w:type="dxa"/>
            <w:shd w:val="clear" w:color="auto" w:fill="auto"/>
          </w:tcPr>
          <w:p w14:paraId="475A013A"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Удлиненный интервал QT на электрокардиограмме</w:t>
            </w:r>
          </w:p>
        </w:tc>
      </w:tr>
      <w:tr w:rsidR="00662F64" w:rsidRPr="005A46FC" w14:paraId="5483DE32" w14:textId="77777777" w:rsidTr="00FD3A41">
        <w:tc>
          <w:tcPr>
            <w:tcW w:w="3095" w:type="dxa"/>
            <w:shd w:val="clear" w:color="auto" w:fill="auto"/>
          </w:tcPr>
          <w:p w14:paraId="5B42CEB0"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2D00140D" w14:textId="77777777" w:rsidR="00662F64" w:rsidRPr="005A46FC" w:rsidRDefault="00662F64" w:rsidP="00FD3A41">
            <w:pPr>
              <w:spacing w:after="0" w:line="240" w:lineRule="auto"/>
              <w:jc w:val="both"/>
              <w:rPr>
                <w:rFonts w:ascii="Times New Roman" w:hAnsi="Times New Roman"/>
                <w:iCs/>
                <w:sz w:val="24"/>
                <w:szCs w:val="24"/>
              </w:rPr>
            </w:pPr>
          </w:p>
        </w:tc>
        <w:tc>
          <w:tcPr>
            <w:tcW w:w="3096" w:type="dxa"/>
            <w:shd w:val="clear" w:color="auto" w:fill="auto"/>
          </w:tcPr>
          <w:p w14:paraId="770DEF97" w14:textId="77777777" w:rsidR="00EA5D5C" w:rsidRPr="005A46FC" w:rsidRDefault="00EA5D5C"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Инфаркт миокарда</w:t>
            </w:r>
            <w:r w:rsidRPr="005A46FC">
              <w:rPr>
                <w:rFonts w:ascii="Times New Roman" w:hAnsi="Times New Roman"/>
                <w:iCs/>
                <w:sz w:val="24"/>
                <w:szCs w:val="24"/>
                <w:vertAlign w:val="superscript"/>
              </w:rPr>
              <w:t>с,+</w:t>
            </w:r>
            <w:r w:rsidRPr="005A46FC">
              <w:rPr>
                <w:rFonts w:ascii="Times New Roman" w:hAnsi="Times New Roman"/>
                <w:iCs/>
                <w:sz w:val="24"/>
                <w:szCs w:val="24"/>
              </w:rPr>
              <w:t xml:space="preserve">, Сердечная недостаточность, </w:t>
            </w:r>
          </w:p>
          <w:p w14:paraId="6CAD6EE3"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Снижение фракции выброса</w:t>
            </w:r>
          </w:p>
        </w:tc>
      </w:tr>
      <w:tr w:rsidR="00EA5D5C" w:rsidRPr="005A46FC" w14:paraId="4D974D8E" w14:textId="77777777" w:rsidTr="00FD3A41">
        <w:tc>
          <w:tcPr>
            <w:tcW w:w="9287" w:type="dxa"/>
            <w:gridSpan w:val="3"/>
            <w:shd w:val="clear" w:color="auto" w:fill="auto"/>
          </w:tcPr>
          <w:p w14:paraId="61EFF503" w14:textId="77777777" w:rsidR="00EA5D5C" w:rsidRPr="005A46FC" w:rsidRDefault="00EA5D5C"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Сосудистые нарушения</w:t>
            </w:r>
          </w:p>
        </w:tc>
      </w:tr>
      <w:tr w:rsidR="00EA5D5C" w:rsidRPr="005A46FC" w14:paraId="53E11A30" w14:textId="77777777" w:rsidTr="00FD3A41">
        <w:tc>
          <w:tcPr>
            <w:tcW w:w="3095" w:type="dxa"/>
            <w:shd w:val="clear" w:color="auto" w:fill="auto"/>
          </w:tcPr>
          <w:p w14:paraId="408715C8"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195B614A" w14:textId="77777777" w:rsidR="00EA5D5C" w:rsidRPr="005A46FC" w:rsidRDefault="00EA5D5C"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Кровотечение</w:t>
            </w:r>
            <w:r w:rsidRPr="005A46FC">
              <w:rPr>
                <w:rFonts w:ascii="Times New Roman" w:hAnsi="Times New Roman"/>
                <w:iCs/>
                <w:sz w:val="24"/>
                <w:szCs w:val="24"/>
                <w:vertAlign w:val="superscript"/>
              </w:rPr>
              <w:t>d, *,+</w:t>
            </w:r>
          </w:p>
          <w:p w14:paraId="61B0203C" w14:textId="77777777" w:rsidR="00EA5D5C" w:rsidRPr="005A46FC" w:rsidRDefault="00EA5D5C"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Гипертензия</w:t>
            </w:r>
            <w:r w:rsidRPr="005A46FC">
              <w:rPr>
                <w:rFonts w:ascii="Times New Roman" w:hAnsi="Times New Roman"/>
                <w:iCs/>
                <w:sz w:val="24"/>
                <w:szCs w:val="24"/>
                <w:vertAlign w:val="superscript"/>
              </w:rPr>
              <w:t>е,*</w:t>
            </w:r>
          </w:p>
          <w:p w14:paraId="3CD17B28"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Гипотензия</w:t>
            </w:r>
          </w:p>
        </w:tc>
        <w:tc>
          <w:tcPr>
            <w:tcW w:w="3096" w:type="dxa"/>
            <w:shd w:val="clear" w:color="auto" w:fill="auto"/>
          </w:tcPr>
          <w:p w14:paraId="4B6E93CF" w14:textId="77777777" w:rsidR="00EA5D5C" w:rsidRPr="005A46FC" w:rsidRDefault="00EA5D5C"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Кровотечение</w:t>
            </w:r>
            <w:r w:rsidRPr="005A46FC">
              <w:rPr>
                <w:rFonts w:ascii="Times New Roman" w:hAnsi="Times New Roman"/>
                <w:iCs/>
                <w:sz w:val="24"/>
                <w:szCs w:val="24"/>
                <w:vertAlign w:val="superscript"/>
              </w:rPr>
              <w:t>d, *,+</w:t>
            </w:r>
          </w:p>
          <w:p w14:paraId="6C2943B7" w14:textId="77777777" w:rsidR="00EA5D5C" w:rsidRPr="005A46FC" w:rsidRDefault="00EA5D5C"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Гипертензия</w:t>
            </w:r>
            <w:r w:rsidRPr="005A46FC">
              <w:rPr>
                <w:rFonts w:ascii="Times New Roman" w:hAnsi="Times New Roman"/>
                <w:iCs/>
                <w:sz w:val="24"/>
                <w:szCs w:val="24"/>
                <w:vertAlign w:val="superscript"/>
              </w:rPr>
              <w:t>е,*</w:t>
            </w:r>
          </w:p>
          <w:p w14:paraId="0617A351" w14:textId="77777777" w:rsidR="00EA5D5C" w:rsidRPr="005A46FC" w:rsidRDefault="00EA5D5C" w:rsidP="00FD3A41">
            <w:pPr>
              <w:spacing w:after="0" w:line="240" w:lineRule="auto"/>
              <w:jc w:val="both"/>
              <w:rPr>
                <w:rFonts w:ascii="Times New Roman" w:hAnsi="Times New Roman"/>
                <w:iCs/>
                <w:sz w:val="24"/>
                <w:szCs w:val="24"/>
              </w:rPr>
            </w:pPr>
          </w:p>
        </w:tc>
      </w:tr>
      <w:tr w:rsidR="00EA5D5C" w:rsidRPr="005A46FC" w14:paraId="3F1571AD" w14:textId="77777777" w:rsidTr="00FD3A41">
        <w:tc>
          <w:tcPr>
            <w:tcW w:w="3095" w:type="dxa"/>
            <w:shd w:val="clear" w:color="auto" w:fill="auto"/>
          </w:tcPr>
          <w:p w14:paraId="7DB69360"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6040D850" w14:textId="77777777" w:rsidR="00EA5D5C" w:rsidRPr="005A46FC" w:rsidRDefault="00EA5D5C" w:rsidP="00FD3A41">
            <w:pPr>
              <w:spacing w:after="0" w:line="240" w:lineRule="auto"/>
              <w:jc w:val="both"/>
              <w:rPr>
                <w:rFonts w:ascii="Times New Roman" w:hAnsi="Times New Roman"/>
                <w:iCs/>
                <w:sz w:val="24"/>
                <w:szCs w:val="24"/>
              </w:rPr>
            </w:pPr>
          </w:p>
        </w:tc>
        <w:tc>
          <w:tcPr>
            <w:tcW w:w="3096" w:type="dxa"/>
            <w:shd w:val="clear" w:color="auto" w:fill="auto"/>
          </w:tcPr>
          <w:p w14:paraId="32B75A71"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Гипотензия</w:t>
            </w:r>
          </w:p>
        </w:tc>
      </w:tr>
      <w:tr w:rsidR="00EA5D5C" w:rsidRPr="005A46FC" w14:paraId="4487E474" w14:textId="77777777" w:rsidTr="00FD3A41">
        <w:tc>
          <w:tcPr>
            <w:tcW w:w="3095" w:type="dxa"/>
            <w:shd w:val="clear" w:color="auto" w:fill="auto"/>
          </w:tcPr>
          <w:p w14:paraId="34B6BE68"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Неизвестно</w:t>
            </w:r>
          </w:p>
        </w:tc>
        <w:tc>
          <w:tcPr>
            <w:tcW w:w="3096" w:type="dxa"/>
            <w:shd w:val="clear" w:color="auto" w:fill="auto"/>
          </w:tcPr>
          <w:p w14:paraId="61B37D56"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Аневризмы и расслоения артерий</w:t>
            </w:r>
          </w:p>
        </w:tc>
        <w:tc>
          <w:tcPr>
            <w:tcW w:w="3096" w:type="dxa"/>
            <w:shd w:val="clear" w:color="auto" w:fill="auto"/>
          </w:tcPr>
          <w:p w14:paraId="3DDC391D" w14:textId="77777777" w:rsidR="00EA5D5C" w:rsidRPr="005A46FC" w:rsidRDefault="00EA5D5C" w:rsidP="00FD3A41">
            <w:pPr>
              <w:spacing w:after="0" w:line="240" w:lineRule="auto"/>
              <w:jc w:val="both"/>
              <w:rPr>
                <w:rFonts w:ascii="Times New Roman" w:hAnsi="Times New Roman"/>
                <w:iCs/>
                <w:sz w:val="24"/>
                <w:szCs w:val="24"/>
              </w:rPr>
            </w:pPr>
          </w:p>
        </w:tc>
      </w:tr>
      <w:tr w:rsidR="00EA5D5C" w:rsidRPr="005A46FC" w14:paraId="2E40F584" w14:textId="77777777" w:rsidTr="00FD3A41">
        <w:tc>
          <w:tcPr>
            <w:tcW w:w="9287" w:type="dxa"/>
            <w:gridSpan w:val="3"/>
            <w:shd w:val="clear" w:color="auto" w:fill="auto"/>
          </w:tcPr>
          <w:p w14:paraId="2C540498" w14:textId="77777777" w:rsidR="00EA5D5C" w:rsidRPr="005A46FC" w:rsidRDefault="00EA5D5C"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Заболевания органов дыхания, грудной клетки и средостения</w:t>
            </w:r>
          </w:p>
        </w:tc>
      </w:tr>
      <w:tr w:rsidR="00EA5D5C" w:rsidRPr="005A46FC" w14:paraId="3DCD5A99" w14:textId="77777777" w:rsidTr="00FD3A41">
        <w:tc>
          <w:tcPr>
            <w:tcW w:w="3095" w:type="dxa"/>
            <w:shd w:val="clear" w:color="auto" w:fill="auto"/>
          </w:tcPr>
          <w:p w14:paraId="0D178892"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5ADF04AE"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Дисфония</w:t>
            </w:r>
          </w:p>
        </w:tc>
        <w:tc>
          <w:tcPr>
            <w:tcW w:w="3096" w:type="dxa"/>
            <w:shd w:val="clear" w:color="auto" w:fill="auto"/>
          </w:tcPr>
          <w:p w14:paraId="38C37787"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Дисфония</w:t>
            </w:r>
          </w:p>
        </w:tc>
      </w:tr>
      <w:tr w:rsidR="00EA5D5C" w:rsidRPr="005A46FC" w14:paraId="012EC1FA" w14:textId="77777777" w:rsidTr="00FD3A41">
        <w:tc>
          <w:tcPr>
            <w:tcW w:w="3095" w:type="dxa"/>
            <w:shd w:val="clear" w:color="auto" w:fill="auto"/>
          </w:tcPr>
          <w:p w14:paraId="0A197049"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0CF545B0"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Легочная эмболия</w:t>
            </w:r>
            <w:r w:rsidRPr="005A46FC">
              <w:rPr>
                <w:rFonts w:ascii="Times New Roman" w:hAnsi="Times New Roman"/>
                <w:iCs/>
                <w:sz w:val="24"/>
                <w:szCs w:val="24"/>
                <w:vertAlign w:val="superscript"/>
              </w:rPr>
              <w:t>+</w:t>
            </w:r>
          </w:p>
        </w:tc>
        <w:tc>
          <w:tcPr>
            <w:tcW w:w="3096" w:type="dxa"/>
            <w:shd w:val="clear" w:color="auto" w:fill="auto"/>
          </w:tcPr>
          <w:p w14:paraId="387F2803"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Легочная эмболия</w:t>
            </w:r>
            <w:r w:rsidRPr="005A46FC">
              <w:rPr>
                <w:rFonts w:ascii="Times New Roman" w:hAnsi="Times New Roman"/>
                <w:iCs/>
                <w:sz w:val="24"/>
                <w:szCs w:val="24"/>
                <w:vertAlign w:val="superscript"/>
              </w:rPr>
              <w:t>+</w:t>
            </w:r>
          </w:p>
        </w:tc>
      </w:tr>
      <w:tr w:rsidR="00EA5D5C" w:rsidRPr="005A46FC" w14:paraId="48C1BABB" w14:textId="77777777" w:rsidTr="00FD3A41">
        <w:tc>
          <w:tcPr>
            <w:tcW w:w="3095" w:type="dxa"/>
            <w:shd w:val="clear" w:color="auto" w:fill="auto"/>
          </w:tcPr>
          <w:p w14:paraId="79D440D9"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5EC8CB67"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Пневм</w:t>
            </w:r>
            <w:r w:rsidR="00811031" w:rsidRPr="005A46FC">
              <w:rPr>
                <w:rFonts w:ascii="Times New Roman" w:hAnsi="Times New Roman"/>
                <w:iCs/>
                <w:sz w:val="24"/>
                <w:szCs w:val="24"/>
              </w:rPr>
              <w:t>о</w:t>
            </w:r>
            <w:r w:rsidRPr="005A46FC">
              <w:rPr>
                <w:rFonts w:ascii="Times New Roman" w:hAnsi="Times New Roman"/>
                <w:iCs/>
                <w:sz w:val="24"/>
                <w:szCs w:val="24"/>
              </w:rPr>
              <w:t>торакс</w:t>
            </w:r>
          </w:p>
        </w:tc>
        <w:tc>
          <w:tcPr>
            <w:tcW w:w="3096" w:type="dxa"/>
            <w:shd w:val="clear" w:color="auto" w:fill="auto"/>
          </w:tcPr>
          <w:p w14:paraId="58301C7D"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Пневм</w:t>
            </w:r>
            <w:r w:rsidR="00811031" w:rsidRPr="005A46FC">
              <w:rPr>
                <w:rFonts w:ascii="Times New Roman" w:hAnsi="Times New Roman"/>
                <w:iCs/>
                <w:sz w:val="24"/>
                <w:szCs w:val="24"/>
              </w:rPr>
              <w:t>о</w:t>
            </w:r>
            <w:r w:rsidRPr="005A46FC">
              <w:rPr>
                <w:rFonts w:ascii="Times New Roman" w:hAnsi="Times New Roman"/>
                <w:iCs/>
                <w:sz w:val="24"/>
                <w:szCs w:val="24"/>
              </w:rPr>
              <w:t>торакс</w:t>
            </w:r>
          </w:p>
        </w:tc>
      </w:tr>
      <w:tr w:rsidR="00EA5D5C" w:rsidRPr="005A46FC" w14:paraId="76738BA2" w14:textId="77777777" w:rsidTr="00FD3A41">
        <w:tc>
          <w:tcPr>
            <w:tcW w:w="9287" w:type="dxa"/>
            <w:gridSpan w:val="3"/>
            <w:shd w:val="clear" w:color="auto" w:fill="auto"/>
          </w:tcPr>
          <w:p w14:paraId="4B25712C" w14:textId="77777777" w:rsidR="00EA5D5C" w:rsidRPr="005A46FC" w:rsidRDefault="00EA5D5C"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Желудочно-кишечные расстройства</w:t>
            </w:r>
          </w:p>
        </w:tc>
      </w:tr>
      <w:tr w:rsidR="00EA5D5C" w:rsidRPr="005A46FC" w14:paraId="343C03F4" w14:textId="77777777" w:rsidTr="00FD3A41">
        <w:tc>
          <w:tcPr>
            <w:tcW w:w="3095" w:type="dxa"/>
            <w:shd w:val="clear" w:color="auto" w:fill="auto"/>
          </w:tcPr>
          <w:p w14:paraId="49C0C036"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029AA2ED"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Диарея, желудочно-кишечные боли и боли в животе</w:t>
            </w:r>
            <w:r w:rsidRPr="005A46FC">
              <w:rPr>
                <w:rFonts w:ascii="Times New Roman" w:hAnsi="Times New Roman"/>
                <w:iCs/>
                <w:sz w:val="24"/>
                <w:szCs w:val="24"/>
                <w:vertAlign w:val="superscript"/>
                <w:lang w:val="en-US"/>
              </w:rPr>
              <w:t>f</w:t>
            </w:r>
            <w:r w:rsidRPr="005A46FC">
              <w:rPr>
                <w:rFonts w:ascii="Times New Roman" w:hAnsi="Times New Roman"/>
                <w:iCs/>
                <w:sz w:val="24"/>
                <w:szCs w:val="24"/>
              </w:rPr>
              <w:t xml:space="preserve">, рвота, тошнота, </w:t>
            </w:r>
            <w:r w:rsidR="002874FE" w:rsidRPr="005A46FC">
              <w:rPr>
                <w:rFonts w:ascii="Times New Roman" w:hAnsi="Times New Roman"/>
                <w:iCs/>
                <w:sz w:val="24"/>
                <w:szCs w:val="24"/>
              </w:rPr>
              <w:t>Воспаление полости рта</w:t>
            </w:r>
            <w:r w:rsidR="002874FE" w:rsidRPr="005A46FC">
              <w:rPr>
                <w:rFonts w:ascii="Times New Roman" w:hAnsi="Times New Roman"/>
                <w:iCs/>
                <w:sz w:val="24"/>
                <w:szCs w:val="24"/>
                <w:vertAlign w:val="superscript"/>
              </w:rPr>
              <w:t>g</w:t>
            </w:r>
            <w:r w:rsidR="002874FE" w:rsidRPr="005A46FC">
              <w:rPr>
                <w:rFonts w:ascii="Times New Roman" w:hAnsi="Times New Roman"/>
                <w:iCs/>
                <w:sz w:val="24"/>
                <w:szCs w:val="24"/>
              </w:rPr>
              <w:t>, боль во рту</w:t>
            </w:r>
            <w:r w:rsidR="002874FE" w:rsidRPr="005A46FC">
              <w:rPr>
                <w:rFonts w:ascii="Times New Roman" w:hAnsi="Times New Roman"/>
                <w:iCs/>
                <w:sz w:val="24"/>
                <w:szCs w:val="24"/>
                <w:vertAlign w:val="superscript"/>
                <w:lang w:val="en-US"/>
              </w:rPr>
              <w:t>h</w:t>
            </w:r>
            <w:r w:rsidR="002874FE" w:rsidRPr="005A46FC">
              <w:rPr>
                <w:rFonts w:ascii="Times New Roman" w:hAnsi="Times New Roman"/>
                <w:iCs/>
                <w:sz w:val="24"/>
                <w:szCs w:val="24"/>
              </w:rPr>
              <w:t>, Запор, диспепсия, сухость во рту, повышение липазы</w:t>
            </w:r>
            <w:r w:rsidR="002874FE" w:rsidRPr="005A46FC">
              <w:rPr>
                <w:rFonts w:ascii="Times New Roman" w:hAnsi="Times New Roman"/>
                <w:iCs/>
                <w:sz w:val="24"/>
                <w:szCs w:val="24"/>
                <w:vertAlign w:val="superscript"/>
              </w:rPr>
              <w:t>++</w:t>
            </w:r>
            <w:r w:rsidR="002874FE" w:rsidRPr="005A46FC">
              <w:rPr>
                <w:rFonts w:ascii="Times New Roman" w:hAnsi="Times New Roman"/>
                <w:iCs/>
                <w:sz w:val="24"/>
                <w:szCs w:val="24"/>
              </w:rPr>
              <w:t>, повышение амилазы</w:t>
            </w:r>
            <w:r w:rsidR="002874FE" w:rsidRPr="005A46FC">
              <w:rPr>
                <w:rFonts w:ascii="Times New Roman" w:hAnsi="Times New Roman"/>
                <w:iCs/>
                <w:sz w:val="24"/>
                <w:szCs w:val="24"/>
                <w:vertAlign w:val="superscript"/>
              </w:rPr>
              <w:t>++</w:t>
            </w:r>
          </w:p>
        </w:tc>
        <w:tc>
          <w:tcPr>
            <w:tcW w:w="3096" w:type="dxa"/>
            <w:shd w:val="clear" w:color="auto" w:fill="auto"/>
          </w:tcPr>
          <w:p w14:paraId="01690045" w14:textId="77777777" w:rsidR="00EA5D5C"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Диарея, желудочно-кишечные боли и боли в животе</w:t>
            </w:r>
            <w:r w:rsidRPr="005A46FC">
              <w:rPr>
                <w:rFonts w:ascii="Times New Roman" w:hAnsi="Times New Roman"/>
                <w:iCs/>
                <w:sz w:val="24"/>
                <w:szCs w:val="24"/>
                <w:vertAlign w:val="superscript"/>
                <w:lang w:val="en-US"/>
              </w:rPr>
              <w:t>f</w:t>
            </w:r>
            <w:r w:rsidRPr="005A46FC">
              <w:rPr>
                <w:rFonts w:ascii="Times New Roman" w:hAnsi="Times New Roman"/>
                <w:iCs/>
                <w:sz w:val="24"/>
                <w:szCs w:val="24"/>
              </w:rPr>
              <w:t>, рвота, тошнота, Воспаление полости рта</w:t>
            </w:r>
            <w:r w:rsidRPr="005A46FC">
              <w:rPr>
                <w:rFonts w:ascii="Times New Roman" w:hAnsi="Times New Roman"/>
                <w:iCs/>
                <w:sz w:val="24"/>
                <w:szCs w:val="24"/>
                <w:vertAlign w:val="superscript"/>
              </w:rPr>
              <w:t>g</w:t>
            </w:r>
            <w:r w:rsidRPr="005A46FC">
              <w:rPr>
                <w:rFonts w:ascii="Times New Roman" w:hAnsi="Times New Roman"/>
                <w:iCs/>
                <w:sz w:val="24"/>
                <w:szCs w:val="24"/>
              </w:rPr>
              <w:t>, боль во рту</w:t>
            </w:r>
            <w:r w:rsidRPr="005A46FC">
              <w:rPr>
                <w:rFonts w:ascii="Times New Roman" w:hAnsi="Times New Roman"/>
                <w:iCs/>
                <w:sz w:val="24"/>
                <w:szCs w:val="24"/>
                <w:vertAlign w:val="superscript"/>
                <w:lang w:val="en-US"/>
              </w:rPr>
              <w:t>h</w:t>
            </w:r>
            <w:r w:rsidRPr="005A46FC">
              <w:rPr>
                <w:rFonts w:ascii="Times New Roman" w:hAnsi="Times New Roman"/>
                <w:iCs/>
                <w:sz w:val="24"/>
                <w:szCs w:val="24"/>
              </w:rPr>
              <w:t>, Запор, сухость во рту, повышение липазы</w:t>
            </w:r>
            <w:r w:rsidRPr="005A46FC">
              <w:rPr>
                <w:rFonts w:ascii="Times New Roman" w:hAnsi="Times New Roman"/>
                <w:iCs/>
                <w:sz w:val="24"/>
                <w:szCs w:val="24"/>
                <w:vertAlign w:val="superscript"/>
              </w:rPr>
              <w:t>++</w:t>
            </w:r>
            <w:r w:rsidRPr="005A46FC">
              <w:rPr>
                <w:rFonts w:ascii="Times New Roman" w:hAnsi="Times New Roman"/>
                <w:iCs/>
                <w:sz w:val="24"/>
                <w:szCs w:val="24"/>
              </w:rPr>
              <w:t>, повышение амилазы</w:t>
            </w:r>
            <w:r w:rsidRPr="005A46FC">
              <w:rPr>
                <w:rFonts w:ascii="Times New Roman" w:hAnsi="Times New Roman"/>
                <w:iCs/>
                <w:sz w:val="24"/>
                <w:szCs w:val="24"/>
                <w:vertAlign w:val="superscript"/>
              </w:rPr>
              <w:t>++</w:t>
            </w:r>
          </w:p>
        </w:tc>
      </w:tr>
      <w:tr w:rsidR="00EA5D5C" w:rsidRPr="005A46FC" w14:paraId="1D9AD5AE" w14:textId="77777777" w:rsidTr="00FD3A41">
        <w:tc>
          <w:tcPr>
            <w:tcW w:w="3095" w:type="dxa"/>
            <w:shd w:val="clear" w:color="auto" w:fill="auto"/>
          </w:tcPr>
          <w:p w14:paraId="7D706A8B" w14:textId="77777777" w:rsidR="00EA5D5C"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Часто</w:t>
            </w:r>
          </w:p>
        </w:tc>
        <w:tc>
          <w:tcPr>
            <w:tcW w:w="3096" w:type="dxa"/>
            <w:shd w:val="clear" w:color="auto" w:fill="auto"/>
          </w:tcPr>
          <w:p w14:paraId="5CB44B6C" w14:textId="77777777" w:rsidR="00EA5D5C"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Свищ в анальном отверстии, Метеоризм</w:t>
            </w:r>
            <w:r w:rsidR="006C7ECC" w:rsidRPr="005A46FC">
              <w:rPr>
                <w:rFonts w:ascii="Times New Roman" w:hAnsi="Times New Roman"/>
                <w:iCs/>
                <w:sz w:val="24"/>
                <w:szCs w:val="24"/>
              </w:rPr>
              <w:t xml:space="preserve">, </w:t>
            </w:r>
            <w:r w:rsidRPr="005A46FC">
              <w:rPr>
                <w:rFonts w:ascii="Times New Roman" w:hAnsi="Times New Roman"/>
                <w:iCs/>
                <w:sz w:val="24"/>
                <w:szCs w:val="24"/>
              </w:rPr>
              <w:t xml:space="preserve"> </w:t>
            </w:r>
            <w:r w:rsidR="006C7ECC" w:rsidRPr="005A46FC">
              <w:rPr>
                <w:rFonts w:ascii="Times New Roman" w:hAnsi="Times New Roman"/>
                <w:iCs/>
                <w:sz w:val="24"/>
                <w:szCs w:val="24"/>
              </w:rPr>
              <w:t>Желудочно-кишечная перфорация</w:t>
            </w:r>
          </w:p>
        </w:tc>
        <w:tc>
          <w:tcPr>
            <w:tcW w:w="3096" w:type="dxa"/>
            <w:shd w:val="clear" w:color="auto" w:fill="auto"/>
          </w:tcPr>
          <w:p w14:paraId="0BBE4647" w14:textId="77777777" w:rsidR="00EA5D5C"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Панкреатит</w:t>
            </w:r>
            <w:r w:rsidRPr="005A46FC">
              <w:rPr>
                <w:rFonts w:ascii="Times New Roman" w:hAnsi="Times New Roman"/>
                <w:iCs/>
                <w:sz w:val="24"/>
                <w:szCs w:val="24"/>
                <w:vertAlign w:val="superscript"/>
                <w:lang w:val="en-US"/>
              </w:rPr>
              <w:t>i</w:t>
            </w:r>
            <w:r w:rsidRPr="005A46FC">
              <w:rPr>
                <w:rFonts w:ascii="Times New Roman" w:hAnsi="Times New Roman"/>
                <w:iCs/>
                <w:sz w:val="24"/>
                <w:szCs w:val="24"/>
              </w:rPr>
              <w:t>, Метеоризм, Диспепсия, колиты</w:t>
            </w:r>
            <w:r w:rsidR="006C7ECC" w:rsidRPr="005A46FC">
              <w:rPr>
                <w:rFonts w:ascii="Times New Roman" w:hAnsi="Times New Roman"/>
                <w:iCs/>
                <w:sz w:val="24"/>
                <w:szCs w:val="24"/>
              </w:rPr>
              <w:t>, Желудочно-кишечная перфорация</w:t>
            </w:r>
          </w:p>
        </w:tc>
      </w:tr>
      <w:tr w:rsidR="00662F64" w:rsidRPr="005A46FC" w14:paraId="7FC65CD6" w14:textId="77777777" w:rsidTr="00FD3A41">
        <w:tc>
          <w:tcPr>
            <w:tcW w:w="3095" w:type="dxa"/>
            <w:shd w:val="clear" w:color="auto" w:fill="auto"/>
          </w:tcPr>
          <w:p w14:paraId="58043D6A" w14:textId="77777777" w:rsidR="00662F64"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35B4F71B" w14:textId="77777777" w:rsidR="00662F64"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Панкреатит</w:t>
            </w:r>
            <w:r w:rsidRPr="005A46FC">
              <w:rPr>
                <w:rFonts w:ascii="Times New Roman" w:hAnsi="Times New Roman"/>
                <w:iCs/>
                <w:sz w:val="24"/>
                <w:szCs w:val="24"/>
                <w:vertAlign w:val="superscript"/>
                <w:lang w:val="en-US"/>
              </w:rPr>
              <w:t>i</w:t>
            </w:r>
            <w:r w:rsidRPr="005A46FC">
              <w:rPr>
                <w:rFonts w:ascii="Times New Roman" w:hAnsi="Times New Roman"/>
                <w:iCs/>
                <w:sz w:val="24"/>
                <w:szCs w:val="24"/>
                <w:lang w:val="en-US"/>
              </w:rPr>
              <w:t>,</w:t>
            </w:r>
            <w:r w:rsidRPr="005A46FC">
              <w:rPr>
                <w:rFonts w:ascii="Times New Roman" w:hAnsi="Times New Roman"/>
                <w:iCs/>
                <w:sz w:val="24"/>
                <w:szCs w:val="24"/>
              </w:rPr>
              <w:t xml:space="preserve"> колиты</w:t>
            </w:r>
          </w:p>
        </w:tc>
        <w:tc>
          <w:tcPr>
            <w:tcW w:w="3096" w:type="dxa"/>
            <w:shd w:val="clear" w:color="auto" w:fill="auto"/>
          </w:tcPr>
          <w:p w14:paraId="7A789A5A" w14:textId="77777777" w:rsidR="00662F64"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Свищ в анальном отверстии</w:t>
            </w:r>
          </w:p>
        </w:tc>
      </w:tr>
      <w:tr w:rsidR="002874FE" w:rsidRPr="005A46FC" w14:paraId="13D77DA1" w14:textId="77777777" w:rsidTr="00FD3A41">
        <w:tc>
          <w:tcPr>
            <w:tcW w:w="9287" w:type="dxa"/>
            <w:gridSpan w:val="3"/>
            <w:shd w:val="clear" w:color="auto" w:fill="auto"/>
          </w:tcPr>
          <w:p w14:paraId="77E47E8A" w14:textId="77777777" w:rsidR="002874FE" w:rsidRPr="005A46FC" w:rsidRDefault="002874FE"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Гепатобиллиарные нарушения</w:t>
            </w:r>
          </w:p>
        </w:tc>
      </w:tr>
      <w:tr w:rsidR="00EA5D5C" w:rsidRPr="005A46FC" w14:paraId="04C2DA00" w14:textId="77777777" w:rsidTr="00FD3A41">
        <w:tc>
          <w:tcPr>
            <w:tcW w:w="3095" w:type="dxa"/>
            <w:shd w:val="clear" w:color="auto" w:fill="auto"/>
          </w:tcPr>
          <w:p w14:paraId="4CFB48F4" w14:textId="77777777" w:rsidR="00EA5D5C"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5F2A8CB5" w14:textId="77777777" w:rsidR="00EA5D5C" w:rsidRPr="005A46FC" w:rsidRDefault="002874FE"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Повышение билирубина в крови</w:t>
            </w:r>
            <w:r w:rsidRPr="005A46FC">
              <w:rPr>
                <w:rFonts w:ascii="Times New Roman" w:hAnsi="Times New Roman"/>
                <w:iCs/>
                <w:sz w:val="24"/>
                <w:szCs w:val="24"/>
                <w:vertAlign w:val="superscript"/>
                <w:lang w:val="en-US"/>
              </w:rPr>
              <w:t>j</w:t>
            </w:r>
            <w:r w:rsidRPr="005A46FC">
              <w:rPr>
                <w:rFonts w:ascii="Times New Roman" w:hAnsi="Times New Roman"/>
                <w:iCs/>
                <w:sz w:val="24"/>
                <w:szCs w:val="24"/>
                <w:vertAlign w:val="superscript"/>
              </w:rPr>
              <w:t>,*,++</w:t>
            </w:r>
          </w:p>
          <w:p w14:paraId="7E64F44F" w14:textId="77777777" w:rsidR="002874FE" w:rsidRPr="005A46FC" w:rsidRDefault="002874FE"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Гипоальбуминемия, Повышение АЛТ</w:t>
            </w:r>
            <w:r w:rsidRPr="005A46FC">
              <w:rPr>
                <w:rFonts w:ascii="Times New Roman" w:hAnsi="Times New Roman"/>
                <w:iCs/>
                <w:sz w:val="24"/>
                <w:szCs w:val="24"/>
                <w:vertAlign w:val="superscript"/>
              </w:rPr>
              <w:t>*,++</w:t>
            </w:r>
          </w:p>
          <w:p w14:paraId="01FD84DF" w14:textId="77777777" w:rsidR="002874FE" w:rsidRPr="005A46FC" w:rsidRDefault="002874FE"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Повышение АСТ</w:t>
            </w:r>
            <w:r w:rsidRPr="005A46FC">
              <w:rPr>
                <w:rFonts w:ascii="Times New Roman" w:hAnsi="Times New Roman"/>
                <w:iCs/>
                <w:sz w:val="24"/>
                <w:szCs w:val="24"/>
                <w:vertAlign w:val="superscript"/>
              </w:rPr>
              <w:t>*,++</w:t>
            </w:r>
          </w:p>
          <w:p w14:paraId="75DF1063" w14:textId="77777777" w:rsidR="002874FE" w:rsidRPr="005A46FC" w:rsidRDefault="00901D66"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Повышение ЩФ в крови</w:t>
            </w:r>
            <w:r w:rsidRPr="005A46FC">
              <w:rPr>
                <w:rFonts w:ascii="Times New Roman" w:hAnsi="Times New Roman"/>
                <w:iCs/>
                <w:sz w:val="24"/>
                <w:szCs w:val="24"/>
                <w:vertAlign w:val="superscript"/>
              </w:rPr>
              <w:t>++</w:t>
            </w:r>
          </w:p>
          <w:p w14:paraId="09849AB6" w14:textId="77777777" w:rsidR="00901D66" w:rsidRPr="005A46FC" w:rsidRDefault="00901D6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Повышение гамма-глутамилтрансферазы</w:t>
            </w:r>
            <w:r w:rsidRPr="005A46FC">
              <w:rPr>
                <w:rFonts w:ascii="Times New Roman" w:hAnsi="Times New Roman"/>
                <w:iCs/>
                <w:sz w:val="24"/>
                <w:szCs w:val="24"/>
                <w:vertAlign w:val="superscript"/>
              </w:rPr>
              <w:t>++</w:t>
            </w:r>
          </w:p>
        </w:tc>
        <w:tc>
          <w:tcPr>
            <w:tcW w:w="3096" w:type="dxa"/>
            <w:shd w:val="clear" w:color="auto" w:fill="auto"/>
          </w:tcPr>
          <w:p w14:paraId="3F2FDC28" w14:textId="77777777" w:rsidR="00901D66" w:rsidRPr="005A46FC" w:rsidRDefault="00901D66"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Повышение билирубина в крови</w:t>
            </w:r>
            <w:r w:rsidRPr="005A46FC">
              <w:rPr>
                <w:rFonts w:ascii="Times New Roman" w:hAnsi="Times New Roman"/>
                <w:iCs/>
                <w:sz w:val="24"/>
                <w:szCs w:val="24"/>
                <w:vertAlign w:val="superscript"/>
                <w:lang w:val="en-US"/>
              </w:rPr>
              <w:t>j</w:t>
            </w:r>
            <w:r w:rsidRPr="005A46FC">
              <w:rPr>
                <w:rFonts w:ascii="Times New Roman" w:hAnsi="Times New Roman"/>
                <w:iCs/>
                <w:sz w:val="24"/>
                <w:szCs w:val="24"/>
                <w:vertAlign w:val="superscript"/>
              </w:rPr>
              <w:t>,*,++</w:t>
            </w:r>
          </w:p>
          <w:p w14:paraId="2A1DD289" w14:textId="77777777" w:rsidR="00901D66" w:rsidRPr="005A46FC" w:rsidRDefault="00901D66"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Гипоальбуминемия, Повышение АЛТ</w:t>
            </w:r>
            <w:r w:rsidRPr="005A46FC">
              <w:rPr>
                <w:rFonts w:ascii="Times New Roman" w:hAnsi="Times New Roman"/>
                <w:iCs/>
                <w:sz w:val="24"/>
                <w:szCs w:val="24"/>
                <w:vertAlign w:val="superscript"/>
              </w:rPr>
              <w:t>*,++</w:t>
            </w:r>
          </w:p>
          <w:p w14:paraId="552289BD" w14:textId="77777777" w:rsidR="00901D66" w:rsidRPr="005A46FC" w:rsidRDefault="00901D66"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Повышение АСТ</w:t>
            </w:r>
            <w:r w:rsidRPr="005A46FC">
              <w:rPr>
                <w:rFonts w:ascii="Times New Roman" w:hAnsi="Times New Roman"/>
                <w:iCs/>
                <w:sz w:val="24"/>
                <w:szCs w:val="24"/>
                <w:vertAlign w:val="superscript"/>
              </w:rPr>
              <w:t>*,++</w:t>
            </w:r>
          </w:p>
          <w:p w14:paraId="290B0BCD" w14:textId="77777777" w:rsidR="00901D66" w:rsidRPr="005A46FC" w:rsidRDefault="00901D66"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Повышение ЩФ в крови</w:t>
            </w:r>
            <w:r w:rsidRPr="005A46FC">
              <w:rPr>
                <w:rFonts w:ascii="Times New Roman" w:hAnsi="Times New Roman"/>
                <w:iCs/>
                <w:sz w:val="24"/>
                <w:szCs w:val="24"/>
                <w:vertAlign w:val="superscript"/>
              </w:rPr>
              <w:t>++</w:t>
            </w:r>
          </w:p>
          <w:p w14:paraId="27D07FC8" w14:textId="77777777" w:rsidR="00EA5D5C" w:rsidRPr="005A46FC" w:rsidRDefault="00EA5D5C" w:rsidP="00FD3A41">
            <w:pPr>
              <w:spacing w:after="0" w:line="240" w:lineRule="auto"/>
              <w:jc w:val="both"/>
              <w:rPr>
                <w:rFonts w:ascii="Times New Roman" w:hAnsi="Times New Roman"/>
                <w:iCs/>
                <w:sz w:val="24"/>
                <w:szCs w:val="24"/>
              </w:rPr>
            </w:pPr>
          </w:p>
        </w:tc>
      </w:tr>
      <w:tr w:rsidR="00EA5D5C" w:rsidRPr="005A46FC" w14:paraId="568FB8F6" w14:textId="77777777" w:rsidTr="00FD3A41">
        <w:tc>
          <w:tcPr>
            <w:tcW w:w="3095" w:type="dxa"/>
            <w:shd w:val="clear" w:color="auto" w:fill="auto"/>
          </w:tcPr>
          <w:p w14:paraId="4231EA45" w14:textId="77777777" w:rsidR="00EA5D5C"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0FF542B8" w14:textId="77777777" w:rsidR="00EA5D5C"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Печеночная недостаточность</w:t>
            </w:r>
            <w:r w:rsidRPr="005A46FC">
              <w:rPr>
                <w:rFonts w:ascii="Times New Roman" w:hAnsi="Times New Roman"/>
                <w:iCs/>
                <w:sz w:val="24"/>
                <w:szCs w:val="24"/>
                <w:vertAlign w:val="superscript"/>
                <w:lang w:val="en-US"/>
              </w:rPr>
              <w:t>k</w:t>
            </w:r>
            <w:r w:rsidRPr="005A46FC">
              <w:rPr>
                <w:rFonts w:ascii="Times New Roman" w:hAnsi="Times New Roman"/>
                <w:iCs/>
                <w:sz w:val="24"/>
                <w:szCs w:val="24"/>
                <w:vertAlign w:val="superscript"/>
              </w:rPr>
              <w:t>,*,+</w:t>
            </w:r>
          </w:p>
          <w:p w14:paraId="4F0D44AA" w14:textId="77777777" w:rsidR="00904576"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Печеночная энцефалопатия</w:t>
            </w:r>
            <w:r w:rsidRPr="005A46FC">
              <w:rPr>
                <w:rFonts w:ascii="Times New Roman" w:hAnsi="Times New Roman"/>
                <w:iCs/>
                <w:sz w:val="24"/>
                <w:szCs w:val="24"/>
                <w:vertAlign w:val="superscript"/>
              </w:rPr>
              <w:t>1,*,+</w:t>
            </w:r>
          </w:p>
          <w:p w14:paraId="4B1013F6" w14:textId="77777777" w:rsidR="00904576"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Аномальная функция печени, Холецистит</w:t>
            </w:r>
          </w:p>
        </w:tc>
        <w:tc>
          <w:tcPr>
            <w:tcW w:w="3096" w:type="dxa"/>
            <w:shd w:val="clear" w:color="auto" w:fill="auto"/>
          </w:tcPr>
          <w:p w14:paraId="42DA94EA" w14:textId="77777777" w:rsidR="00EA5D5C"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Холецистит, Аномальная функция печени, Повышение гамма-глутамилтрансферазы</w:t>
            </w:r>
          </w:p>
        </w:tc>
      </w:tr>
      <w:tr w:rsidR="00EA5D5C" w:rsidRPr="005A46FC" w14:paraId="0899C04B" w14:textId="77777777" w:rsidTr="00FD3A41">
        <w:tc>
          <w:tcPr>
            <w:tcW w:w="3095" w:type="dxa"/>
            <w:shd w:val="clear" w:color="auto" w:fill="auto"/>
          </w:tcPr>
          <w:p w14:paraId="62B79B0B" w14:textId="77777777" w:rsidR="00EA5D5C"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38C3E17E" w14:textId="77777777" w:rsidR="00EA5D5C" w:rsidRPr="005A46FC" w:rsidRDefault="00904576" w:rsidP="00FD3A41">
            <w:pPr>
              <w:spacing w:after="0" w:line="240" w:lineRule="auto"/>
              <w:jc w:val="both"/>
              <w:rPr>
                <w:rFonts w:ascii="Times New Roman" w:hAnsi="Times New Roman"/>
                <w:iCs/>
                <w:sz w:val="24"/>
                <w:szCs w:val="24"/>
                <w:lang w:val="en-US"/>
              </w:rPr>
            </w:pPr>
            <w:r w:rsidRPr="005A46FC">
              <w:rPr>
                <w:rFonts w:ascii="Times New Roman" w:hAnsi="Times New Roman"/>
                <w:iCs/>
                <w:sz w:val="24"/>
                <w:szCs w:val="24"/>
              </w:rPr>
              <w:t>Гепатоцеллюлярное повреждение/гепатит</w:t>
            </w:r>
            <w:r w:rsidRPr="005A46FC">
              <w:rPr>
                <w:rFonts w:ascii="Times New Roman" w:hAnsi="Times New Roman"/>
                <w:iCs/>
                <w:sz w:val="24"/>
                <w:szCs w:val="24"/>
                <w:vertAlign w:val="superscript"/>
                <w:lang w:val="en-US"/>
              </w:rPr>
              <w:t>m</w:t>
            </w:r>
          </w:p>
        </w:tc>
        <w:tc>
          <w:tcPr>
            <w:tcW w:w="3096" w:type="dxa"/>
            <w:shd w:val="clear" w:color="auto" w:fill="auto"/>
          </w:tcPr>
          <w:p w14:paraId="4DAE7936" w14:textId="77777777" w:rsidR="00904576"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Печеночная недостаточность</w:t>
            </w:r>
            <w:r w:rsidRPr="005A46FC">
              <w:rPr>
                <w:rFonts w:ascii="Times New Roman" w:hAnsi="Times New Roman"/>
                <w:iCs/>
                <w:sz w:val="24"/>
                <w:szCs w:val="24"/>
                <w:vertAlign w:val="superscript"/>
                <w:lang w:val="en-US"/>
              </w:rPr>
              <w:t>k</w:t>
            </w:r>
            <w:r w:rsidRPr="005A46FC">
              <w:rPr>
                <w:rFonts w:ascii="Times New Roman" w:hAnsi="Times New Roman"/>
                <w:iCs/>
                <w:sz w:val="24"/>
                <w:szCs w:val="24"/>
                <w:vertAlign w:val="superscript"/>
              </w:rPr>
              <w:t>,*,+</w:t>
            </w:r>
          </w:p>
          <w:p w14:paraId="396CEFAC" w14:textId="77777777" w:rsidR="00904576"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Печеночная энцефалопатия</w:t>
            </w:r>
            <w:r w:rsidRPr="005A46FC">
              <w:rPr>
                <w:rFonts w:ascii="Times New Roman" w:hAnsi="Times New Roman"/>
                <w:iCs/>
                <w:sz w:val="24"/>
                <w:szCs w:val="24"/>
                <w:vertAlign w:val="superscript"/>
              </w:rPr>
              <w:t>1,*,+</w:t>
            </w:r>
          </w:p>
          <w:p w14:paraId="23337845" w14:textId="77777777" w:rsidR="00EA5D5C"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Гепатоцеллюлярное повреждение/гепатит</w:t>
            </w:r>
            <w:r w:rsidRPr="005A46FC">
              <w:rPr>
                <w:rFonts w:ascii="Times New Roman" w:hAnsi="Times New Roman"/>
                <w:iCs/>
                <w:sz w:val="24"/>
                <w:szCs w:val="24"/>
                <w:vertAlign w:val="superscript"/>
                <w:lang w:val="en-US"/>
              </w:rPr>
              <w:t>m</w:t>
            </w:r>
          </w:p>
        </w:tc>
      </w:tr>
      <w:tr w:rsidR="00904576" w:rsidRPr="005A46FC" w14:paraId="035D019C" w14:textId="77777777" w:rsidTr="00FD3A41">
        <w:tc>
          <w:tcPr>
            <w:tcW w:w="9287" w:type="dxa"/>
            <w:gridSpan w:val="3"/>
            <w:shd w:val="clear" w:color="auto" w:fill="auto"/>
          </w:tcPr>
          <w:p w14:paraId="0D72ACD4" w14:textId="77777777" w:rsidR="00904576" w:rsidRPr="005A46FC" w:rsidRDefault="00904576"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Заболевания кожи и подкожной клетчатки</w:t>
            </w:r>
          </w:p>
        </w:tc>
      </w:tr>
      <w:tr w:rsidR="002874FE" w:rsidRPr="005A46FC" w14:paraId="6C49D523" w14:textId="77777777" w:rsidTr="00FD3A41">
        <w:tc>
          <w:tcPr>
            <w:tcW w:w="3095" w:type="dxa"/>
            <w:shd w:val="clear" w:color="auto" w:fill="auto"/>
          </w:tcPr>
          <w:p w14:paraId="221360D1" w14:textId="77777777" w:rsidR="002874FE"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5C75ECAB" w14:textId="77777777" w:rsidR="002874FE"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Синдром ладонно-подошвенной эритродизестезии, сыпь, алопеция</w:t>
            </w:r>
          </w:p>
        </w:tc>
        <w:tc>
          <w:tcPr>
            <w:tcW w:w="3096" w:type="dxa"/>
            <w:shd w:val="clear" w:color="auto" w:fill="auto"/>
          </w:tcPr>
          <w:p w14:paraId="3305458C" w14:textId="77777777" w:rsidR="002874FE"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Синдром ладонно-подошвенной эритродизестезии, сыпь</w:t>
            </w:r>
          </w:p>
        </w:tc>
      </w:tr>
      <w:tr w:rsidR="002874FE" w:rsidRPr="005A46FC" w14:paraId="5160582D" w14:textId="77777777" w:rsidTr="00FD3A41">
        <w:tc>
          <w:tcPr>
            <w:tcW w:w="3095" w:type="dxa"/>
            <w:shd w:val="clear" w:color="auto" w:fill="auto"/>
          </w:tcPr>
          <w:p w14:paraId="67829247" w14:textId="77777777" w:rsidR="002874FE"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1732A3A8" w14:textId="77777777" w:rsidR="002874FE"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Гиперкератоз</w:t>
            </w:r>
          </w:p>
        </w:tc>
        <w:tc>
          <w:tcPr>
            <w:tcW w:w="3096" w:type="dxa"/>
            <w:shd w:val="clear" w:color="auto" w:fill="auto"/>
          </w:tcPr>
          <w:p w14:paraId="0CBD3329" w14:textId="77777777" w:rsidR="002874FE"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Алопеция</w:t>
            </w:r>
          </w:p>
        </w:tc>
      </w:tr>
      <w:tr w:rsidR="002874FE" w:rsidRPr="005A46FC" w14:paraId="5D7380B4" w14:textId="77777777" w:rsidTr="00FD3A41">
        <w:tc>
          <w:tcPr>
            <w:tcW w:w="3095" w:type="dxa"/>
            <w:shd w:val="clear" w:color="auto" w:fill="auto"/>
          </w:tcPr>
          <w:p w14:paraId="78239D99" w14:textId="77777777" w:rsidR="002874FE"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0961DBF7" w14:textId="77777777" w:rsidR="002874FE" w:rsidRPr="005A46FC" w:rsidRDefault="002874FE" w:rsidP="00FD3A41">
            <w:pPr>
              <w:spacing w:after="0" w:line="240" w:lineRule="auto"/>
              <w:jc w:val="both"/>
              <w:rPr>
                <w:rFonts w:ascii="Times New Roman" w:hAnsi="Times New Roman"/>
                <w:iCs/>
                <w:sz w:val="24"/>
                <w:szCs w:val="24"/>
              </w:rPr>
            </w:pPr>
          </w:p>
        </w:tc>
        <w:tc>
          <w:tcPr>
            <w:tcW w:w="3096" w:type="dxa"/>
            <w:shd w:val="clear" w:color="auto" w:fill="auto"/>
          </w:tcPr>
          <w:p w14:paraId="0A403D12" w14:textId="77777777" w:rsidR="002874FE"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Гиперкератоз</w:t>
            </w:r>
          </w:p>
        </w:tc>
      </w:tr>
      <w:tr w:rsidR="00DF0E60" w:rsidRPr="005A46FC" w14:paraId="0798C9E7" w14:textId="77777777" w:rsidTr="00FD3A41">
        <w:tc>
          <w:tcPr>
            <w:tcW w:w="9287" w:type="dxa"/>
            <w:gridSpan w:val="3"/>
            <w:shd w:val="clear" w:color="auto" w:fill="auto"/>
          </w:tcPr>
          <w:p w14:paraId="331D56D4" w14:textId="77777777" w:rsidR="00DF0E60" w:rsidRPr="005A46FC" w:rsidRDefault="00DF0E60"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Заболевания опорно-двигательного аппарата и соединительной ткани</w:t>
            </w:r>
          </w:p>
        </w:tc>
      </w:tr>
      <w:tr w:rsidR="00EA5D5C" w:rsidRPr="005A46FC" w14:paraId="58E7E222" w14:textId="77777777" w:rsidTr="00FD3A41">
        <w:tc>
          <w:tcPr>
            <w:tcW w:w="3095" w:type="dxa"/>
            <w:shd w:val="clear" w:color="auto" w:fill="auto"/>
          </w:tcPr>
          <w:p w14:paraId="0B864FF4" w14:textId="77777777" w:rsidR="00EA5D5C"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3AB5FD7C" w14:textId="77777777" w:rsidR="00EA5D5C"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Боль в спине, артралгия, миалгия, боль в конечностях, скелетно-мышечная боль</w:t>
            </w:r>
          </w:p>
        </w:tc>
        <w:tc>
          <w:tcPr>
            <w:tcW w:w="3096" w:type="dxa"/>
            <w:shd w:val="clear" w:color="auto" w:fill="auto"/>
          </w:tcPr>
          <w:p w14:paraId="72CA6093" w14:textId="77777777" w:rsidR="00EA5D5C"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Боль в спине, артралгия, миалгия, боль в конечностях</w:t>
            </w:r>
          </w:p>
        </w:tc>
      </w:tr>
      <w:tr w:rsidR="00DF0E60" w:rsidRPr="005A46FC" w14:paraId="6F72F7B5" w14:textId="77777777" w:rsidTr="00FD3A41">
        <w:tc>
          <w:tcPr>
            <w:tcW w:w="3095" w:type="dxa"/>
            <w:shd w:val="clear" w:color="auto" w:fill="auto"/>
          </w:tcPr>
          <w:p w14:paraId="52DB2092"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3B7D624C" w14:textId="77777777" w:rsidR="00DF0E60" w:rsidRPr="005A46FC" w:rsidRDefault="00DF0E60" w:rsidP="00FD3A41">
            <w:pPr>
              <w:spacing w:after="0" w:line="240" w:lineRule="auto"/>
              <w:jc w:val="both"/>
              <w:rPr>
                <w:rFonts w:ascii="Times New Roman" w:hAnsi="Times New Roman"/>
                <w:iCs/>
                <w:sz w:val="24"/>
                <w:szCs w:val="24"/>
              </w:rPr>
            </w:pPr>
          </w:p>
        </w:tc>
        <w:tc>
          <w:tcPr>
            <w:tcW w:w="3096" w:type="dxa"/>
            <w:shd w:val="clear" w:color="auto" w:fill="auto"/>
          </w:tcPr>
          <w:p w14:paraId="5430CE9B"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Скелетно-мышечная боль</w:t>
            </w:r>
          </w:p>
        </w:tc>
      </w:tr>
      <w:tr w:rsidR="00DF0E60" w:rsidRPr="005A46FC" w14:paraId="5F197166" w14:textId="77777777" w:rsidTr="00FD3A41">
        <w:tc>
          <w:tcPr>
            <w:tcW w:w="3095" w:type="dxa"/>
            <w:shd w:val="clear" w:color="auto" w:fill="auto"/>
          </w:tcPr>
          <w:p w14:paraId="2895CE12"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160F50FF"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Остеонекроз челюсти</w:t>
            </w:r>
          </w:p>
        </w:tc>
        <w:tc>
          <w:tcPr>
            <w:tcW w:w="3096" w:type="dxa"/>
            <w:shd w:val="clear" w:color="auto" w:fill="auto"/>
          </w:tcPr>
          <w:p w14:paraId="64A312E9" w14:textId="77777777" w:rsidR="00DF0E60" w:rsidRPr="005A46FC" w:rsidRDefault="00DF0E60" w:rsidP="00FD3A41">
            <w:pPr>
              <w:spacing w:after="0" w:line="240" w:lineRule="auto"/>
              <w:jc w:val="both"/>
              <w:rPr>
                <w:rFonts w:ascii="Times New Roman" w:hAnsi="Times New Roman"/>
                <w:iCs/>
                <w:sz w:val="24"/>
                <w:szCs w:val="24"/>
              </w:rPr>
            </w:pPr>
          </w:p>
        </w:tc>
      </w:tr>
      <w:tr w:rsidR="00DF0E60" w:rsidRPr="005A46FC" w14:paraId="66557948" w14:textId="77777777" w:rsidTr="00FD3A41">
        <w:tc>
          <w:tcPr>
            <w:tcW w:w="9287" w:type="dxa"/>
            <w:gridSpan w:val="3"/>
            <w:shd w:val="clear" w:color="auto" w:fill="auto"/>
          </w:tcPr>
          <w:p w14:paraId="6E204073" w14:textId="77777777" w:rsidR="00DF0E60" w:rsidRPr="005A46FC" w:rsidRDefault="00DF0E60"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Почечные и мочевые расстройства</w:t>
            </w:r>
          </w:p>
        </w:tc>
      </w:tr>
      <w:tr w:rsidR="00DF0E60" w:rsidRPr="005A46FC" w14:paraId="0C62F183" w14:textId="77777777" w:rsidTr="00FD3A41">
        <w:tc>
          <w:tcPr>
            <w:tcW w:w="3095" w:type="dxa"/>
            <w:shd w:val="clear" w:color="auto" w:fill="auto"/>
          </w:tcPr>
          <w:p w14:paraId="781AA295"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30DC2FC2"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Протеинурия*,</w:t>
            </w:r>
          </w:p>
          <w:p w14:paraId="0A20E23F"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Повышение креатинина в крови</w:t>
            </w:r>
            <w:r w:rsidRPr="005A46FC">
              <w:rPr>
                <w:rFonts w:ascii="Times New Roman" w:hAnsi="Times New Roman"/>
                <w:iCs/>
                <w:sz w:val="24"/>
                <w:szCs w:val="24"/>
                <w:vertAlign w:val="superscript"/>
              </w:rPr>
              <w:t>++</w:t>
            </w:r>
          </w:p>
        </w:tc>
        <w:tc>
          <w:tcPr>
            <w:tcW w:w="3096" w:type="dxa"/>
            <w:shd w:val="clear" w:color="auto" w:fill="auto"/>
          </w:tcPr>
          <w:p w14:paraId="2A944A47" w14:textId="77777777" w:rsidR="00811031"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Протеинурия*, </w:t>
            </w:r>
          </w:p>
          <w:p w14:paraId="15F252E6"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Повышение креатинина в крови</w:t>
            </w:r>
            <w:r w:rsidRPr="005A46FC">
              <w:rPr>
                <w:rFonts w:ascii="Times New Roman" w:hAnsi="Times New Roman"/>
                <w:iCs/>
                <w:sz w:val="24"/>
                <w:szCs w:val="24"/>
                <w:vertAlign w:val="superscript"/>
              </w:rPr>
              <w:t>++</w:t>
            </w:r>
          </w:p>
        </w:tc>
      </w:tr>
      <w:tr w:rsidR="00DF0E60" w:rsidRPr="005A46FC" w14:paraId="5CEC2EC4" w14:textId="77777777" w:rsidTr="00FD3A41">
        <w:tc>
          <w:tcPr>
            <w:tcW w:w="3095" w:type="dxa"/>
            <w:shd w:val="clear" w:color="auto" w:fill="auto"/>
          </w:tcPr>
          <w:p w14:paraId="4AD7EBA8"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5878674B" w14:textId="77777777" w:rsidR="00DF0E60" w:rsidRPr="005A46FC" w:rsidRDefault="00DF0E60"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Почечная недостаточность</w:t>
            </w:r>
            <w:r w:rsidRPr="005A46FC">
              <w:rPr>
                <w:rFonts w:ascii="Times New Roman" w:hAnsi="Times New Roman"/>
                <w:iCs/>
                <w:sz w:val="24"/>
                <w:szCs w:val="24"/>
                <w:vertAlign w:val="superscript"/>
                <w:lang w:val="en-US"/>
              </w:rPr>
              <w:t>n</w:t>
            </w:r>
            <w:r w:rsidRPr="005A46FC">
              <w:rPr>
                <w:rFonts w:ascii="Times New Roman" w:hAnsi="Times New Roman"/>
                <w:iCs/>
                <w:sz w:val="24"/>
                <w:szCs w:val="24"/>
                <w:vertAlign w:val="superscript"/>
              </w:rPr>
              <w:t>,*,+</w:t>
            </w:r>
          </w:p>
          <w:p w14:paraId="1E1F8B3B"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повреждение почек*, повышение мочевины в крови</w:t>
            </w:r>
          </w:p>
        </w:tc>
        <w:tc>
          <w:tcPr>
            <w:tcW w:w="3096" w:type="dxa"/>
            <w:shd w:val="clear" w:color="auto" w:fill="auto"/>
          </w:tcPr>
          <w:p w14:paraId="3B2D07E3" w14:textId="77777777" w:rsidR="00DF0E60" w:rsidRPr="005A46FC" w:rsidRDefault="00DF0E60"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Почечная недостаточность</w:t>
            </w:r>
            <w:r w:rsidRPr="005A46FC">
              <w:rPr>
                <w:rFonts w:ascii="Times New Roman" w:hAnsi="Times New Roman"/>
                <w:iCs/>
                <w:sz w:val="24"/>
                <w:szCs w:val="24"/>
                <w:vertAlign w:val="superscript"/>
                <w:lang w:val="en-US"/>
              </w:rPr>
              <w:t>n</w:t>
            </w:r>
            <w:r w:rsidRPr="005A46FC">
              <w:rPr>
                <w:rFonts w:ascii="Times New Roman" w:hAnsi="Times New Roman"/>
                <w:iCs/>
                <w:sz w:val="24"/>
                <w:szCs w:val="24"/>
                <w:vertAlign w:val="superscript"/>
              </w:rPr>
              <w:t>,*,+</w:t>
            </w:r>
          </w:p>
          <w:p w14:paraId="499464CF" w14:textId="77777777" w:rsidR="00DF0E60" w:rsidRPr="005A46FC" w:rsidRDefault="00DF0E60" w:rsidP="00FD3A41">
            <w:pPr>
              <w:spacing w:after="0" w:line="240" w:lineRule="auto"/>
              <w:jc w:val="both"/>
              <w:rPr>
                <w:rFonts w:ascii="Times New Roman" w:hAnsi="Times New Roman"/>
                <w:iCs/>
                <w:sz w:val="24"/>
                <w:szCs w:val="24"/>
              </w:rPr>
            </w:pPr>
          </w:p>
        </w:tc>
      </w:tr>
      <w:tr w:rsidR="00DF0E60" w:rsidRPr="005A46FC" w14:paraId="3CF51B29" w14:textId="77777777" w:rsidTr="00FD3A41">
        <w:tc>
          <w:tcPr>
            <w:tcW w:w="3095" w:type="dxa"/>
            <w:shd w:val="clear" w:color="auto" w:fill="auto"/>
          </w:tcPr>
          <w:p w14:paraId="6BCAFFAD"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65BF6DF5"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Нефротический синдром</w:t>
            </w:r>
          </w:p>
        </w:tc>
        <w:tc>
          <w:tcPr>
            <w:tcW w:w="3096" w:type="dxa"/>
            <w:shd w:val="clear" w:color="auto" w:fill="auto"/>
          </w:tcPr>
          <w:p w14:paraId="7BEA2F3C"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Почечная недостаточность*, </w:t>
            </w:r>
            <w:r w:rsidRPr="005A46FC">
              <w:rPr>
                <w:rFonts w:ascii="Times New Roman" w:hAnsi="Times New Roman"/>
                <w:iCs/>
                <w:sz w:val="24"/>
                <w:szCs w:val="24"/>
              </w:rPr>
              <w:lastRenderedPageBreak/>
              <w:t>повышение мочевины в крови</w:t>
            </w:r>
          </w:p>
          <w:p w14:paraId="62230BD4" w14:textId="77777777" w:rsidR="00DF0E60" w:rsidRPr="005A46FC" w:rsidRDefault="00DF0E60" w:rsidP="00FD3A41">
            <w:pPr>
              <w:spacing w:after="0" w:line="240" w:lineRule="auto"/>
              <w:jc w:val="both"/>
              <w:rPr>
                <w:rFonts w:ascii="Times New Roman" w:hAnsi="Times New Roman"/>
                <w:iCs/>
                <w:sz w:val="24"/>
                <w:szCs w:val="24"/>
                <w:vertAlign w:val="superscript"/>
              </w:rPr>
            </w:pPr>
          </w:p>
          <w:p w14:paraId="7589A7BE" w14:textId="77777777" w:rsidR="00DF0E60" w:rsidRPr="005A46FC" w:rsidRDefault="00DF0E60" w:rsidP="00FD3A41">
            <w:pPr>
              <w:spacing w:after="0" w:line="240" w:lineRule="auto"/>
              <w:jc w:val="both"/>
              <w:rPr>
                <w:rFonts w:ascii="Times New Roman" w:hAnsi="Times New Roman"/>
                <w:iCs/>
                <w:sz w:val="24"/>
                <w:szCs w:val="24"/>
              </w:rPr>
            </w:pPr>
          </w:p>
        </w:tc>
      </w:tr>
      <w:tr w:rsidR="00DF0E60" w:rsidRPr="005A46FC" w14:paraId="38108363" w14:textId="77777777" w:rsidTr="00FD3A41">
        <w:tc>
          <w:tcPr>
            <w:tcW w:w="9287" w:type="dxa"/>
            <w:gridSpan w:val="3"/>
            <w:shd w:val="clear" w:color="auto" w:fill="auto"/>
          </w:tcPr>
          <w:p w14:paraId="221FC68B"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b/>
                <w:bCs/>
                <w:iCs/>
                <w:sz w:val="24"/>
                <w:szCs w:val="24"/>
              </w:rPr>
              <w:lastRenderedPageBreak/>
              <w:t>Общие</w:t>
            </w:r>
            <w:r w:rsidRPr="005A46FC">
              <w:rPr>
                <w:rFonts w:ascii="Times New Roman" w:hAnsi="Times New Roman"/>
                <w:iCs/>
                <w:sz w:val="24"/>
                <w:szCs w:val="24"/>
              </w:rPr>
              <w:t xml:space="preserve"> </w:t>
            </w:r>
            <w:r w:rsidRPr="005A46FC">
              <w:rPr>
                <w:rFonts w:ascii="Times New Roman" w:hAnsi="Times New Roman"/>
                <w:b/>
                <w:bCs/>
                <w:iCs/>
                <w:sz w:val="24"/>
                <w:szCs w:val="24"/>
              </w:rPr>
              <w:t>расстройства и состояния в месте введения</w:t>
            </w:r>
          </w:p>
        </w:tc>
      </w:tr>
      <w:tr w:rsidR="00DF0E60" w:rsidRPr="005A46FC" w14:paraId="3B52651C" w14:textId="77777777" w:rsidTr="00FD3A41">
        <w:tc>
          <w:tcPr>
            <w:tcW w:w="3095" w:type="dxa"/>
            <w:shd w:val="clear" w:color="auto" w:fill="auto"/>
          </w:tcPr>
          <w:p w14:paraId="6C8D2BFA"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7EDD0CCE"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Усталость, слабость, периферический отек</w:t>
            </w:r>
          </w:p>
        </w:tc>
        <w:tc>
          <w:tcPr>
            <w:tcW w:w="3096" w:type="dxa"/>
            <w:shd w:val="clear" w:color="auto" w:fill="auto"/>
          </w:tcPr>
          <w:p w14:paraId="014125C3"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Усталость, слабость, периферический отек</w:t>
            </w:r>
          </w:p>
        </w:tc>
      </w:tr>
      <w:tr w:rsidR="00DF0E60" w:rsidRPr="005A46FC" w14:paraId="362ADC7A" w14:textId="77777777" w:rsidTr="00FD3A41">
        <w:tc>
          <w:tcPr>
            <w:tcW w:w="3095" w:type="dxa"/>
            <w:shd w:val="clear" w:color="auto" w:fill="auto"/>
          </w:tcPr>
          <w:p w14:paraId="62FDB0A6"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396EAE91"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Недомогание</w:t>
            </w:r>
          </w:p>
        </w:tc>
        <w:tc>
          <w:tcPr>
            <w:tcW w:w="3096" w:type="dxa"/>
            <w:shd w:val="clear" w:color="auto" w:fill="auto"/>
          </w:tcPr>
          <w:p w14:paraId="662BB77B"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Недомогание</w:t>
            </w:r>
          </w:p>
        </w:tc>
      </w:tr>
      <w:tr w:rsidR="00DF0E60" w:rsidRPr="005A46FC" w14:paraId="70E0FEF8" w14:textId="77777777" w:rsidTr="00FD3A41">
        <w:tc>
          <w:tcPr>
            <w:tcW w:w="3095" w:type="dxa"/>
            <w:shd w:val="clear" w:color="auto" w:fill="auto"/>
          </w:tcPr>
          <w:p w14:paraId="2558F24A"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6053BCAD"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Нарушение заживления</w:t>
            </w:r>
          </w:p>
        </w:tc>
        <w:tc>
          <w:tcPr>
            <w:tcW w:w="3096" w:type="dxa"/>
            <w:shd w:val="clear" w:color="auto" w:fill="auto"/>
          </w:tcPr>
          <w:p w14:paraId="077A10BE"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Нарушение заживления</w:t>
            </w:r>
          </w:p>
        </w:tc>
      </w:tr>
      <w:tr w:rsidR="00EA5D5C" w:rsidRPr="005A46FC" w14:paraId="669C3744" w14:textId="77777777" w:rsidTr="00FD3A41">
        <w:tc>
          <w:tcPr>
            <w:tcW w:w="3095" w:type="dxa"/>
            <w:shd w:val="clear" w:color="auto" w:fill="auto"/>
          </w:tcPr>
          <w:p w14:paraId="02A267E8" w14:textId="77777777" w:rsidR="00EA5D5C"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Неизвестно</w:t>
            </w:r>
          </w:p>
        </w:tc>
        <w:tc>
          <w:tcPr>
            <w:tcW w:w="3096" w:type="dxa"/>
            <w:shd w:val="clear" w:color="auto" w:fill="auto"/>
          </w:tcPr>
          <w:p w14:paraId="2B78F3D8" w14:textId="77777777" w:rsidR="00EA5D5C"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Нежелудочно-кишечный свищ</w:t>
            </w:r>
            <w:r w:rsidRPr="005A46FC">
              <w:rPr>
                <w:rFonts w:ascii="Times New Roman" w:hAnsi="Times New Roman"/>
                <w:iCs/>
                <w:sz w:val="24"/>
                <w:szCs w:val="24"/>
                <w:vertAlign w:val="superscript"/>
              </w:rPr>
              <w:t>о</w:t>
            </w:r>
          </w:p>
        </w:tc>
        <w:tc>
          <w:tcPr>
            <w:tcW w:w="3096" w:type="dxa"/>
            <w:shd w:val="clear" w:color="auto" w:fill="auto"/>
          </w:tcPr>
          <w:p w14:paraId="5A2F60AA" w14:textId="77777777" w:rsidR="00EA5D5C" w:rsidRPr="005A46FC" w:rsidRDefault="00EA5D5C" w:rsidP="00FD3A41">
            <w:pPr>
              <w:spacing w:after="0" w:line="240" w:lineRule="auto"/>
              <w:jc w:val="both"/>
              <w:rPr>
                <w:rFonts w:ascii="Times New Roman" w:hAnsi="Times New Roman"/>
                <w:iCs/>
                <w:sz w:val="24"/>
                <w:szCs w:val="24"/>
              </w:rPr>
            </w:pPr>
          </w:p>
        </w:tc>
      </w:tr>
    </w:tbl>
    <w:p w14:paraId="12011FEC"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 Частота побочных реакций, представленная в Таблице 6, не может быть полностью связана с одним ленватинибом, но может включать влияние основного заболевания или других лекарственных средств, используемых в комбинации.</w:t>
      </w:r>
    </w:p>
    <w:p w14:paraId="503249A5"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 См. раздел 4.8 Описание отдельных побочных реакций для дальнейшей характеристики.</w:t>
      </w:r>
    </w:p>
    <w:p w14:paraId="34401F86"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 Включает случаи с летальным исходом.</w:t>
      </w:r>
    </w:p>
    <w:p w14:paraId="1B0636B1" w14:textId="77777777" w:rsidR="004528E1"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 Частота на основе лабораторных данных.</w:t>
      </w:r>
    </w:p>
    <w:p w14:paraId="586CE410" w14:textId="77777777" w:rsidR="00305856" w:rsidRPr="005A46FC" w:rsidRDefault="00305856" w:rsidP="0089230B">
      <w:pPr>
        <w:spacing w:after="0" w:line="240" w:lineRule="auto"/>
        <w:jc w:val="both"/>
        <w:rPr>
          <w:rFonts w:ascii="Times New Roman" w:hAnsi="Times New Roman"/>
          <w:sz w:val="20"/>
          <w:szCs w:val="20"/>
        </w:rPr>
      </w:pPr>
    </w:p>
    <w:p w14:paraId="647629C1"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Были объединены следующие термины:</w:t>
      </w:r>
    </w:p>
    <w:p w14:paraId="242CB931"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а: Тромбоцитопения включает тромбоцитопению и снижение количества тромбоцитов. Нейтропения включает нейтропению и снижение количества нейтрофилов. Лейкопения включает лейкопению и снижение количества лейкоцитов. Лимфопения включает лимфопению и снижение числа лимфоцитов.</w:t>
      </w:r>
    </w:p>
    <w:p w14:paraId="62C94BBD"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б: Гипомагниемия включает гипомагниемию и снижение содержания магния в крови. Гиперхолестеринемия включает гиперхолестеринемию и повышенный уровень холестерина в крови.</w:t>
      </w:r>
    </w:p>
    <w:p w14:paraId="5F6B81AD"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c: Инфаркт миокарда включает инфаркт миокарда и острый инфаркт миокарда.</w:t>
      </w:r>
    </w:p>
    <w:p w14:paraId="3A5AB8E4"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d: Включает все термины кровотечения.</w:t>
      </w:r>
    </w:p>
    <w:p w14:paraId="4573E403"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Термины кровотечения, которые имели место у 5 или более субъектов с ДРЩЖ, включали: носовое кровотечение, кровохарканье, гематурия, ушиб, гематохезия, кровотечение из десен, петехиальное, легочное кровотечение, ректальное кровотечение, наличие крови в моче, гематома и вагинальное кровотечение.</w:t>
      </w:r>
    </w:p>
    <w:p w14:paraId="09FF111F"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Термины кровотечения, которые произошли у 5 или более субъектов с ГЦР, включали: носовое кровотечение, гематурию, кровотечение из десен, кровохарканье, кровотечение из варикозно расширенных вен пищевода, геморроидальное кровотечение, кровотечение из полости рта, ректальное кровотечение и кровотечение из верхних отделов желудочно-кишечного тракта.</w:t>
      </w:r>
    </w:p>
    <w:p w14:paraId="1940976C"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Термин кровотечение, которое произошло у 5 или более субъектов с РЭ, был следующим: вагинальное кровотечение.</w:t>
      </w:r>
    </w:p>
    <w:p w14:paraId="5DFDD6CF"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e: Гипертензия включает: гипертонию, гипертонический криз, повышенное диастолическое артериальное давление, ортостатическую гипертензию и повышенное артериальное давление.</w:t>
      </w:r>
    </w:p>
    <w:p w14:paraId="6E26B576"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f: Желудочно-кишечные и абдоминальные боли включают: дискомфорт в животе, боль в животе, боль внизу живота, боль в верхней области живота, болезненность в животе, дискомфорт в эпигастрии и желудочно-кишечные боли.</w:t>
      </w:r>
    </w:p>
    <w:p w14:paraId="5E0C7025"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g: Воспаление полости рта включает: афтозный стоматит, афтозную язву, эрозию десен, изъязвление десен, образование волдырей на слизистой оболочке полости рта, стоматит, глоссит, язвы во рту и воспаление слизистой оболочки.</w:t>
      </w:r>
    </w:p>
    <w:p w14:paraId="1E371415"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h: Боль в полости рта включает: боль в полости рта, глосодинию, боль в деснах, дискомфорт в ротоглотке, боль в ротоглотке и дискомфорт в языке.</w:t>
      </w:r>
    </w:p>
    <w:p w14:paraId="420A3EE6"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i: Панкреатит включает: панкреатит и острый панкреатит.</w:t>
      </w:r>
    </w:p>
    <w:p w14:paraId="1E1BCC28"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j: Повышение билирубина в крови включает: гипербилирубинемию, повышение билирубина в крови, желтуху и повышение конъюгированного билирубина. Гипоальбуминемия включает гипоальбуминемию и снижение уровня альбумина в крови.</w:t>
      </w:r>
    </w:p>
    <w:p w14:paraId="2B73E2C4"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k: Печеночная недостаточность включает: печеночную недостаточность, острую печеночную недостаточность и хроническую печеночную недостаточность.</w:t>
      </w:r>
    </w:p>
    <w:p w14:paraId="17CF3094"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l: Печеночная энцефалопатия включает: печеночную энцефалопатию, печеночную кому, метаболическую энцефалопатию и энцефалопатию.</w:t>
      </w:r>
    </w:p>
    <w:p w14:paraId="02875A29"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m: Гепатоцеллюлярное повреждение и гепатит включают: лекарственное поражение печени, стеатоз печени и холестатическое поражение печени.</w:t>
      </w:r>
    </w:p>
    <w:p w14:paraId="1D9A99CF"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n: Случаи почечной недостаточности включают: острую преренальную недостаточность, почечную недостаточность, острую почечную недостаточность, острое повреждение почек и некроз почечных канальцев.</w:t>
      </w:r>
    </w:p>
    <w:p w14:paraId="4F0B558B"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lastRenderedPageBreak/>
        <w:t>o: свищи вне желудочно-кишечного тракта включают случаи свищей вне желудка и кишечника, такие как трахеальные, трахеопищеводные, пищеводные свищи, свищи женских половых путей и кожные свищи.</w:t>
      </w:r>
    </w:p>
    <w:p w14:paraId="00DDA0F3" w14:textId="77777777" w:rsidR="00B236EC" w:rsidRPr="005A46FC" w:rsidRDefault="00B236EC" w:rsidP="00B236EC">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Описание отдельных побочных реакций</w:t>
      </w:r>
    </w:p>
    <w:p w14:paraId="51742986" w14:textId="77777777" w:rsidR="00B236EC" w:rsidRPr="005A46FC" w:rsidRDefault="00B236EC" w:rsidP="00B236EC">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Гипертензия (см. раздел 4.4)</w:t>
      </w:r>
    </w:p>
    <w:p w14:paraId="7069C9B4" w14:textId="77777777" w:rsidR="00B236EC" w:rsidRPr="005A46FC" w:rsidRDefault="00B236EC" w:rsidP="00B236EC">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256BE365" w14:textId="77777777" w:rsidR="0089230B" w:rsidRPr="005A46FC" w:rsidRDefault="00B236EC" w:rsidP="00B236EC">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3 фазы (см. раздел 5.1) артериальная гипертензия (включая артериальную гипертензию, гипертонический криз, повышение диастолического артериального давления и повышение артериального давления) была зарегистрирована у 72,8% пациентов, получавших ленватиниб, и у 16,0% пациентов, получавших плацебо. Среднее время до начала заболевания у пациентов, получавших ленватиниб, составляло 16 дней. Реакции степени 3 или выше (включая 1 реакцию степени 4) наблюдались у 44,4% пациентов, получавших ленватиниб, по сравнению с 3,8% пациентов, получавших плацебо. Большинство пациентов выздоровели или реакции разрешились после отмены или снижения дозы, что имело место у 13,0% и 13,4% пациентов соответственно. У 1,1% пациентов артериальная гипертензия привела к окончательному прекращению лечения.</w:t>
      </w:r>
    </w:p>
    <w:p w14:paraId="36FF6DD6" w14:textId="77777777" w:rsidR="00B236EC" w:rsidRPr="005A46FC" w:rsidRDefault="00B236EC" w:rsidP="00B236EC">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002583E9" w14:textId="77777777" w:rsidR="00B236EC" w:rsidRPr="005A46FC" w:rsidRDefault="00B236EC" w:rsidP="00B236EC">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артериальная гипертензия (включая артериальную гипертензию, повышенное артериальное давление, повышенное диастолическое артериальное давление и ортостатическую гипертензию) была зарегистрирована у 44,5% пациентов, получавших ленватиниб, а артериальная гипертензия 3 степени развилась у 23,5%. Среднее время до начала заболевания составило 26 дней. В большинстве случаев выздоровление наступило после отмены или снижения дозы, что произошло у 3,6% и 3,4% пациентов соответственно. Один субъект (0,2%) прекратил прием ленватиниба из-за артериальной гипертензии.</w:t>
      </w:r>
    </w:p>
    <w:p w14:paraId="3A423AF7" w14:textId="77777777" w:rsidR="00B236EC" w:rsidRPr="005A46FC" w:rsidRDefault="00B236EC" w:rsidP="00B236EC">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19DCEDDA" w14:textId="77777777" w:rsidR="00B236EC" w:rsidRPr="005A46FC" w:rsidRDefault="00B236EC" w:rsidP="00B236EC">
      <w:pPr>
        <w:spacing w:after="0" w:line="240" w:lineRule="auto"/>
        <w:jc w:val="both"/>
        <w:rPr>
          <w:rFonts w:ascii="Times New Roman" w:hAnsi="Times New Roman"/>
          <w:sz w:val="24"/>
          <w:szCs w:val="24"/>
        </w:rPr>
      </w:pPr>
      <w:r w:rsidRPr="005A46FC">
        <w:rPr>
          <w:rFonts w:ascii="Times New Roman" w:hAnsi="Times New Roman"/>
          <w:sz w:val="24"/>
          <w:szCs w:val="24"/>
        </w:rPr>
        <w:t xml:space="preserve">В исследовании 309 фазы 3 (см. раздел 5.1) артериальная гипертензия была зарегистрирована у 65% пациентов в группе, получавшей ленватиниб плюс пембролизумаб. Реакции степени 3 или выше возникали у 38,4% пациентов в группе, получавшей ленватиниб плюс пембролизумаб. Среднее время до начала заболевания в группе ленватиниба и пембролизумаба составило 15 дней. Прерывание дозы, снижение дозы и отмена ленватиниба </w:t>
      </w:r>
      <w:r w:rsidR="0084538F" w:rsidRPr="005A46FC">
        <w:rPr>
          <w:rFonts w:ascii="Times New Roman" w:hAnsi="Times New Roman"/>
          <w:sz w:val="24"/>
          <w:szCs w:val="24"/>
        </w:rPr>
        <w:t>наблюдалось</w:t>
      </w:r>
      <w:r w:rsidRPr="005A46FC">
        <w:rPr>
          <w:rFonts w:ascii="Times New Roman" w:hAnsi="Times New Roman"/>
          <w:sz w:val="24"/>
          <w:szCs w:val="24"/>
        </w:rPr>
        <w:t xml:space="preserve"> у 11,6%, 17,7% и 2,0% пациентов соответственно.</w:t>
      </w:r>
    </w:p>
    <w:p w14:paraId="4B9D7712" w14:textId="77777777" w:rsidR="0084538F" w:rsidRPr="005A46FC" w:rsidRDefault="0084538F" w:rsidP="0084538F">
      <w:pPr>
        <w:spacing w:after="0" w:line="240" w:lineRule="auto"/>
        <w:jc w:val="both"/>
        <w:rPr>
          <w:rFonts w:ascii="Times New Roman" w:hAnsi="Times New Roman"/>
          <w:i/>
          <w:iCs/>
          <w:sz w:val="24"/>
          <w:szCs w:val="24"/>
        </w:rPr>
      </w:pPr>
      <w:r w:rsidRPr="005A46FC">
        <w:rPr>
          <w:rFonts w:ascii="Times New Roman" w:hAnsi="Times New Roman"/>
          <w:i/>
          <w:iCs/>
          <w:sz w:val="24"/>
          <w:szCs w:val="24"/>
          <w:u w:val="single"/>
        </w:rPr>
        <w:t>Протеинурия (см. раздел 4.4</w:t>
      </w:r>
      <w:r w:rsidRPr="005A46FC">
        <w:rPr>
          <w:rFonts w:ascii="Times New Roman" w:hAnsi="Times New Roman"/>
          <w:i/>
          <w:iCs/>
          <w:sz w:val="24"/>
          <w:szCs w:val="24"/>
        </w:rPr>
        <w:t>)</w:t>
      </w:r>
    </w:p>
    <w:p w14:paraId="72EDD430" w14:textId="77777777" w:rsidR="0084538F"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i/>
          <w:iCs/>
          <w:sz w:val="24"/>
          <w:szCs w:val="24"/>
        </w:rPr>
        <w:t>ДРЩЖ</w:t>
      </w:r>
    </w:p>
    <w:p w14:paraId="28F22FCC" w14:textId="77777777" w:rsidR="0084538F"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3 фазы SELECT (см. раздел 5.1) протеинурия была зарегистрирована у 33,7% пациентов, получавших ленватиниб, и у 3,1% пациентов в группе, получавшей плацебо. Среднее время до начала заболевания составило 6,7 недель. Реакции 3 степени наблюдались у 10,7% пациентов, получавших ленватиниб, и ни у одного из пациентов, получавших плацебо. В большинстве случаев исходом было выздоровление или регресс после отмены или снижения дозы, что имело место у 16,9% и 10,7% пациентов соответственно. Протеинурия привела к окончательному прекращению лечения у 0,8% пациентов.</w:t>
      </w:r>
    </w:p>
    <w:p w14:paraId="6E207069" w14:textId="77777777" w:rsidR="0084538F" w:rsidRPr="005A46FC" w:rsidRDefault="0084538F" w:rsidP="0084538F">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6D855B09" w14:textId="77777777" w:rsidR="0084538F"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протеинурия была зарегистрирована у 26,3% пациентов, получавших ленватиниб, а реакции 3 степени развились у 5,9%. Среднее время до начала заболевания составило 6,1 недели. В большинстве случаев выздоровление наступило после отмены или снижения дозы, что имело место у 6,9% и 2,5% пациентов соответственно. Протеинурия привела к окончательному прекращению лечения у 0,6% пациентов.</w:t>
      </w:r>
    </w:p>
    <w:p w14:paraId="300261E1" w14:textId="77777777" w:rsidR="0084538F" w:rsidRPr="005A46FC" w:rsidRDefault="0084538F" w:rsidP="0084538F">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6671C715" w14:textId="77777777" w:rsidR="0089230B"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sz w:val="24"/>
          <w:szCs w:val="24"/>
        </w:rPr>
        <w:lastRenderedPageBreak/>
        <w:t>В исследовании 309 фазы 3 (см. раздел 5.1) протеинурия была зарегистрирована у 29,6% пациентов, получавших ленватиниб плюс пембролизумаб, а реакции ≥3 степени развились у 5,4% пациентов. Среднее время до начала заболевания составило 34,5 дня. Прерывание дозы, снижение дозы и отмена ленватиниба имело место у 6,2%, 7,9% и 1,2% пациентов соответственно.</w:t>
      </w:r>
    </w:p>
    <w:p w14:paraId="35EF625F" w14:textId="77777777" w:rsidR="0084538F" w:rsidRPr="005A46FC" w:rsidRDefault="0084538F" w:rsidP="0084538F">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Почечная недостаточность и нарушение функции почек (см. раздел 4.4)</w:t>
      </w:r>
    </w:p>
    <w:p w14:paraId="3B9DA603" w14:textId="77777777" w:rsidR="0084538F" w:rsidRPr="005A46FC" w:rsidRDefault="0084538F" w:rsidP="0084538F">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29F69037" w14:textId="77777777" w:rsidR="0084538F"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фазы 3 (см. раздел 5.1) у 5,0% пациентов развилась почечная недостаточность и у 1,9% наблюдалось нарушение функции почек (3,1% пациентов имели почечную недостаточность или нарушение функции почек ≥ 3 степени). В группе плацебо у 0,8% пациентов развилась почечная недостаточность или нарушение функции почек (у 0,8% была степень ≥ 3).</w:t>
      </w:r>
    </w:p>
    <w:p w14:paraId="730760A0" w14:textId="77777777" w:rsidR="0084538F" w:rsidRPr="005A46FC" w:rsidRDefault="0084538F" w:rsidP="0084538F">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7D12C15F" w14:textId="77777777" w:rsidR="0084538F"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у 7,1% пациентов, получавших ленватиниб, развилась почечная недостаточность/нарушение функции почек. Реакции 3 степени или выше наблюдались у 1,9% пациентов, получавших ленватиниб.</w:t>
      </w:r>
    </w:p>
    <w:p w14:paraId="53916567" w14:textId="77777777" w:rsidR="0084538F" w:rsidRPr="005A46FC" w:rsidRDefault="0084538F" w:rsidP="0084538F">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0BEBFF0E" w14:textId="77777777" w:rsidR="0084538F"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sz w:val="24"/>
          <w:szCs w:val="24"/>
        </w:rPr>
        <w:t xml:space="preserve">В исследовании </w:t>
      </w:r>
      <w:r w:rsidR="00993674" w:rsidRPr="005A46FC">
        <w:rPr>
          <w:rFonts w:ascii="Times New Roman" w:hAnsi="Times New Roman"/>
          <w:sz w:val="24"/>
          <w:szCs w:val="24"/>
        </w:rPr>
        <w:t xml:space="preserve">309 </w:t>
      </w:r>
      <w:r w:rsidRPr="005A46FC">
        <w:rPr>
          <w:rFonts w:ascii="Times New Roman" w:hAnsi="Times New Roman"/>
          <w:sz w:val="24"/>
          <w:szCs w:val="24"/>
        </w:rPr>
        <w:t xml:space="preserve">фазы </w:t>
      </w:r>
      <w:r w:rsidR="00993674" w:rsidRPr="005A46FC">
        <w:rPr>
          <w:rFonts w:ascii="Times New Roman" w:hAnsi="Times New Roman"/>
          <w:sz w:val="24"/>
          <w:szCs w:val="24"/>
        </w:rPr>
        <w:t xml:space="preserve">3 </w:t>
      </w:r>
      <w:r w:rsidRPr="005A46FC">
        <w:rPr>
          <w:rFonts w:ascii="Times New Roman" w:hAnsi="Times New Roman"/>
          <w:sz w:val="24"/>
          <w:szCs w:val="24"/>
        </w:rPr>
        <w:t xml:space="preserve">(см. раздел 5.1) у 18,2 % пациентов, получавших ленватиниб плюс пембролизумаб, развилась почечная недостаточность/нарушение функции почек. Реакции ≥ 3 степени наблюдались у 4,2% пациентов. Среднее время до начала заболевания составило 86,0 дней. Прерывание дозы, снижение дозы и отмена ленватиниба </w:t>
      </w:r>
      <w:r w:rsidR="00993674" w:rsidRPr="005A46FC">
        <w:rPr>
          <w:rFonts w:ascii="Times New Roman" w:hAnsi="Times New Roman"/>
          <w:sz w:val="24"/>
          <w:szCs w:val="24"/>
        </w:rPr>
        <w:t>имели место</w:t>
      </w:r>
      <w:r w:rsidRPr="005A46FC">
        <w:rPr>
          <w:rFonts w:ascii="Times New Roman" w:hAnsi="Times New Roman"/>
          <w:sz w:val="24"/>
          <w:szCs w:val="24"/>
        </w:rPr>
        <w:t xml:space="preserve"> у 3,0%, 1,7% и 1,2% пациентов соответственно.</w:t>
      </w:r>
    </w:p>
    <w:p w14:paraId="77A47F5E" w14:textId="77777777" w:rsidR="00BD1BDB" w:rsidRPr="005A46FC" w:rsidRDefault="00BD1BDB" w:rsidP="00BD1BDB">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Сердечная дисфункция (см. раздел 4.4)</w:t>
      </w:r>
    </w:p>
    <w:p w14:paraId="7CB73DB1"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1CC6BBF2"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 xml:space="preserve">В базовом исследовании </w:t>
      </w:r>
      <w:r w:rsidRPr="005A46FC">
        <w:rPr>
          <w:rFonts w:ascii="Times New Roman" w:hAnsi="Times New Roman"/>
          <w:sz w:val="24"/>
          <w:szCs w:val="24"/>
          <w:lang w:val="en-US"/>
        </w:rPr>
        <w:t>SELECT</w:t>
      </w:r>
      <w:r w:rsidRPr="005A46FC">
        <w:rPr>
          <w:rFonts w:ascii="Times New Roman" w:hAnsi="Times New Roman"/>
          <w:sz w:val="24"/>
          <w:szCs w:val="24"/>
        </w:rPr>
        <w:t xml:space="preserve"> 3 фазы (см. раздел 5.1) снижение фракции выброса/сердечной недостаточности было зарегистрировано у 6,5% пациентов (1,5% имели степень ≥ 3) в группе, получавшей ленватиниб, и у 2,3% в группе плацебо (ни у одного не наблюдалось степени ≥ 3).</w:t>
      </w:r>
    </w:p>
    <w:p w14:paraId="0F24E425"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15511FE2"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 xml:space="preserve">В исследовании </w:t>
      </w:r>
      <w:r w:rsidRPr="005A46FC">
        <w:rPr>
          <w:rFonts w:ascii="Times New Roman" w:hAnsi="Times New Roman"/>
          <w:sz w:val="24"/>
          <w:szCs w:val="24"/>
          <w:lang w:val="en-US"/>
        </w:rPr>
        <w:t>REFLECT</w:t>
      </w:r>
      <w:r w:rsidRPr="005A46FC">
        <w:rPr>
          <w:rFonts w:ascii="Times New Roman" w:hAnsi="Times New Roman"/>
          <w:sz w:val="24"/>
          <w:szCs w:val="24"/>
        </w:rPr>
        <w:t xml:space="preserve"> фазы 3 (см. раздел 5.1) сердечная дисфункция (включая застойную сердечную недостаточность, кардиогенный шок и сердечно-легочную недостаточность) была зарегистрирована у 0,6% пациентов (0,4% имели степень ≥ 3) в группе, получавшей ленватиниб.</w:t>
      </w:r>
    </w:p>
    <w:p w14:paraId="6440DCAB"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275E7579" w14:textId="77777777" w:rsidR="0026013D"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о случаях сердечной дисфункции сообщалось у 1,0% пациентов, получавших ленватиниб плюс пембролизумаб, а реакции ≥3 степени развились у 0,5% пациентов. Среднее время до начала заболевания составило 112,0 дней. Снижение дозы и отмена ленватиниба имели место у 0,2% пациентов.</w:t>
      </w:r>
    </w:p>
    <w:p w14:paraId="6DCD6544" w14:textId="77777777" w:rsidR="00BD1BDB" w:rsidRPr="005A46FC" w:rsidRDefault="00BD1BDB" w:rsidP="00BD1BDB">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Синдром обратимой задней энцефалопатии (PRES)/синдром обратимой задней лейкоэнцефалопатии (RPLS) (см. раздел 4.4)</w:t>
      </w:r>
    </w:p>
    <w:p w14:paraId="7BB2D863"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17244361"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фазы 3 (см. раздел 5.1) был зарегистрирован 1 случай PRES (степень 2) в группе, получавшей ленватиниб, и ни одного сообщения в группе плацебо.</w:t>
      </w:r>
    </w:p>
    <w:p w14:paraId="6539ABFD"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7087FB40"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в группе, получавшей ленватиниб, наблюдался 1 случай PRES (степень 2).</w:t>
      </w:r>
    </w:p>
    <w:p w14:paraId="2BBEA722"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Среди 1823 пациентов, получавших монотерапию ленватинибом в клинических исследованиях, было зарегистрировано 5 случаев (0,3%) PRES (0,2% были 3 или 4 степени), все из которых разрешились после прекращения лечения и/или дозы, или окончательной отмены.</w:t>
      </w:r>
    </w:p>
    <w:p w14:paraId="4C1E97F2"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lastRenderedPageBreak/>
        <w:t>РЭ</w:t>
      </w:r>
    </w:p>
    <w:p w14:paraId="4CB7FB86"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было одно событие PRES (уровень 1) в группе, получавшей ленватиниб плюс пембролизумаб, в связи с чем прием ленватиниба был прерван.</w:t>
      </w:r>
    </w:p>
    <w:p w14:paraId="49393100" w14:textId="77777777" w:rsidR="00BD1BDB" w:rsidRPr="005A46FC" w:rsidRDefault="00BD1BDB" w:rsidP="00BD1BDB">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Гепатотоксичность (см. раздел 4.4)</w:t>
      </w:r>
    </w:p>
    <w:p w14:paraId="3219A75D"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1D3676E0"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В основном исследовании 3 фазы SELECT (см. раздел 5.1) наиболее частыми побочными реакциями со стороны печени были гипоальбуминемия (9,6 % ленватиниба против 1,5 % плацебо) и повышение уровня печеночных ферментов, в том числе увеличение активности аланинаминотрансферазы (7,7 % ленватиниба по сравнению с 0% плацебо), аспартатаминотрансферазой (6,9 % ленватиниба по сравнению с 1,5 % плацебо) и билирубином в крови (1,9 % ленватиниба по сравнению с 0% плацебо). Среднее время до появления печеночных реакций у пациентов, получавших ленватиниб, составляло 12,1 недели. Реакции со стороны печени 3 степени или выше (включая 1 случай печеночной недостаточности 5 степени) наблюдались у 5,4% пациентов, получавших ленватиниб, по сравнению с 0,8% у пациентов, получавших плацебо. Реакции, связанные с печенью, привели к прерыванию и снижению дозы у 4,6% и 2,7% пациентов соответственно и к полной отмене у 0,4%.</w:t>
      </w:r>
    </w:p>
    <w:p w14:paraId="4D7B2BEB"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 xml:space="preserve">Среди 1166 пациентов, получавших ленватиниб, было 3 случая (0,3%) печеночной недостаточности с фатальным исходом. Один </w:t>
      </w:r>
      <w:r w:rsidR="00E47BE8" w:rsidRPr="005A46FC">
        <w:rPr>
          <w:rFonts w:ascii="Times New Roman" w:hAnsi="Times New Roman"/>
          <w:sz w:val="24"/>
          <w:szCs w:val="24"/>
        </w:rPr>
        <w:t>имел место</w:t>
      </w:r>
      <w:r w:rsidRPr="005A46FC">
        <w:rPr>
          <w:rFonts w:ascii="Times New Roman" w:hAnsi="Times New Roman"/>
          <w:sz w:val="24"/>
          <w:szCs w:val="24"/>
        </w:rPr>
        <w:t xml:space="preserve"> у пациента без метастазов в печень. Также </w:t>
      </w:r>
      <w:r w:rsidR="00E47BE8" w:rsidRPr="005A46FC">
        <w:rPr>
          <w:rFonts w:ascii="Times New Roman" w:hAnsi="Times New Roman"/>
          <w:sz w:val="24"/>
          <w:szCs w:val="24"/>
        </w:rPr>
        <w:t>был</w:t>
      </w:r>
      <w:r w:rsidRPr="005A46FC">
        <w:rPr>
          <w:rFonts w:ascii="Times New Roman" w:hAnsi="Times New Roman"/>
          <w:sz w:val="24"/>
          <w:szCs w:val="24"/>
        </w:rPr>
        <w:t xml:space="preserve"> случай острого гепатита у </w:t>
      </w:r>
      <w:r w:rsidR="00E47BE8" w:rsidRPr="005A46FC">
        <w:rPr>
          <w:rFonts w:ascii="Times New Roman" w:hAnsi="Times New Roman"/>
          <w:sz w:val="24"/>
          <w:szCs w:val="24"/>
        </w:rPr>
        <w:t>пациента</w:t>
      </w:r>
      <w:r w:rsidRPr="005A46FC">
        <w:rPr>
          <w:rFonts w:ascii="Times New Roman" w:hAnsi="Times New Roman"/>
          <w:sz w:val="24"/>
          <w:szCs w:val="24"/>
        </w:rPr>
        <w:t xml:space="preserve"> без метастазов в печень.</w:t>
      </w:r>
    </w:p>
    <w:p w14:paraId="0950A739"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762BE8CE"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наиболее часто сообщаемыми побочными реакциями гепатотоксичности были повышение уровня билирубина в крови (14,9%), повышение уровня аспартатаминотрансферазы (13,7%), повышение уровня аланинаминотрансферазы (11,1%), гипоальбуминемия (9,2%), печеночная энцефалопатия (8,0%), повышение уровня гамма-глутамилтрансферазы (7,8%) и повышение уровня щелочной фосфатазы в крови (6,7%). Среднее время до появления побочных реакций гепатотоксикоза составляло 6,4 недели. Реакции гепатотоксичности ≥ 3 степени наблюдались у 26,1% пациентов, получавших ленватиниб. Печеночная недостаточность (включая летальные исходы у 12 пациентов) развилась у 3,6% пациентов (все были ≥ 3 степени). Печеночная энцефалопатия (включая летальные исходы у 4 пациентов) развилась у 8,4% пациентов (5,5% были ≥ степени 3). В группе ленватиниба было 17 (3,6%) смертей из-за гепатотоксичности и 4 случаев (0,8%) смерти в группе сорафениба. Побочные реакции, связанные с гепатотоксичностью, привели к приостановке и снижению дозы у 12,2% и 7,4% пациентов, получавших ленватиниб, соответственно, и к полному прекращению лечения у 5,5%.</w:t>
      </w:r>
    </w:p>
    <w:p w14:paraId="0D8F2265"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клинических исследованиях, в которых 1327 пациентов получали монотерапию ленватинибом по показаниям, отличавшимся от ГЦР, печеночная недостаточность (включая летальные исходы) была зарегистрирована у 4 пациентов (0,3%), поражение печени у 2 пациентов (0,2%), острый гепатит у 2 пациентов (0,2%), и гепатоцеллюлярное повреждение у 1 пациента (0,1%).</w:t>
      </w:r>
    </w:p>
    <w:p w14:paraId="47274466"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4877D060"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гепатотоксичность была зарегистрирована у 33,7% пациентов, получавших ленватиниб плюс пембролизумаб, а реакции ≥3 степени развились у 12,1% пациентов. Среднее время до начала заболевания составило 56,0 дней. Прерывание дозы, снижение дозы и отмена ленватиниба имели место у 5,2%, 3,0% и 1,2% пациентов соответственно.</w:t>
      </w:r>
    </w:p>
    <w:p w14:paraId="3781CC1E" w14:textId="77777777" w:rsidR="00E47BE8" w:rsidRPr="005A46FC" w:rsidRDefault="00E47BE8" w:rsidP="00E47BE8">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Артериальные тромбоэмболии (см. раздел 4.4)</w:t>
      </w:r>
    </w:p>
    <w:p w14:paraId="09805B31"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1C37146F"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lastRenderedPageBreak/>
        <w:t>В базовом исследовании SELECT 3 фазы (см. раздел 5.1) артериальные тромбоэмболические осложнения были зарегистрированы у 5,4% пациентов, получавших ленватиниб, и у 2,3% пациентов в группе плацебо.</w:t>
      </w:r>
    </w:p>
    <w:p w14:paraId="0817B18E"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10035627"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артериальные тромбоэмболические осложнения были зарегистрированы у 2,3% пациентов, получавших ленватиниб.</w:t>
      </w:r>
    </w:p>
    <w:p w14:paraId="6B0CC72B"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Среди 1823 пациентов, получавших монотерапию ленватинибом в клинических исследованиях, было 10 случаев (0,5%) артериальных тромбоэмболий (5 случаев инфаркта миокарда и 5 случаев нарушения мозгового кровообращения) с летальным исходом.</w:t>
      </w:r>
    </w:p>
    <w:p w14:paraId="6441B4E1"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47C50A1C"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артериальные тромбоэмболии были зарегистрированы у 3,7% пациентов, получавших ленватиниб плюс пембролизумаб, а реакции ≥3 степени развились у 2,2% пациентов. Среднее время до начала заболевания составило 59,0 дней. Прерывание дозы и отмена ленватиниба имели место у 0,2% и 2,0% пациентов соответственно.</w:t>
      </w:r>
    </w:p>
    <w:p w14:paraId="6D219D00"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Кровотечение (см. раздел 4.4)</w:t>
      </w:r>
    </w:p>
    <w:p w14:paraId="3D90F81E"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7D8B7F1F"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3 фазы (см. раздел 5.1) кровотечение было зарегистрировано у 34,9 % (1,9 % степени ≥ 3) пациентов, получавших ленватиниб, по сравнению с 18,3 % (3,1 % степени ≥ 3) у пациентов, получавших плацебо. Реакции, которые возникали с частотой ≥ 0,75% по сравнению с плацебо, включали: носовое кровотечение (11,9%), гематурия (6,5%), контузия (4,6%), кровоточивость десен (2,3%), гематохезия (2,3%), ректальное кровотечение (1,5%), гематома (1,1%), геморроидальное кровотечение (1,1%), кровотечение из гортани (1,1%), петехии (1,1%) и внутричерепное опухолевое кровоизлияние (0,8%). В этом исследовании был зарегистрирован 1 случай фатального внутричерепного кровоизлияния среди 16 пациентов, получавших ленватиниб и имевших исходные метастазы в ЦНС.</w:t>
      </w:r>
    </w:p>
    <w:p w14:paraId="6B98BB80"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Среднее время до появления первых симптомов у пациентов, получавших ленватиниб, составило 10,1 недели. Различий между пациентами, получавшими ленватиниб и плацебо, не наблюдалось в частоте серьезных реакций (3,4% против 3,8%), реакций, приводящих к преждевременному прекращению приема (1,1% против 1,5%), или реакций, приводящих к отмене дозы (3,4%против 3,8%) или снижении дозы (0,4% против 0).</w:t>
      </w:r>
    </w:p>
    <w:p w14:paraId="5D5E056D"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7B02FE09" w14:textId="77777777" w:rsidR="0084538F"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кровотечение было зарегистрировано у 24,6% пациентов, а 5,0% имели степень ≥3. Реакции 3 степени наблюдались у 3,4%, реакции 4 степени у 0,2% и у 7 пациентов (1,5%) были реакции 5 степени, включая кровоизлияние в мозг, кровотечение из верхних отделов желудочно-кишечного тракта, кишечное кровотечение и кровоизлияние из опухоли. Среднее время до первого появления симптомов составило 11,9 недель. Случаи кровотечения приводили к отмене или снижению дозы у 3,2% и 0,8% пациентов соответственно и к прекращению лечения у 1,7% пациентов.</w:t>
      </w:r>
    </w:p>
    <w:p w14:paraId="3CD89E80"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 xml:space="preserve">В клинических исследованиях, в которых 1327 пациентов получали монотерапию ленватинибом по другим показаниям, кроме ГЦР, кровотечения ≥ 3 степени или выше были зарегистрированы у 2% пациентов, у 3 пациентов (0,2%) было кровотечение 4 степени и у 8 пациентов (0,6%) </w:t>
      </w:r>
      <w:r w:rsidR="00B73FDA" w:rsidRPr="005A46FC">
        <w:rPr>
          <w:rFonts w:ascii="Times New Roman" w:hAnsi="Times New Roman"/>
          <w:sz w:val="24"/>
          <w:szCs w:val="24"/>
        </w:rPr>
        <w:t>наблюдалась р</w:t>
      </w:r>
      <w:r w:rsidRPr="005A46FC">
        <w:rPr>
          <w:rFonts w:ascii="Times New Roman" w:hAnsi="Times New Roman"/>
          <w:sz w:val="24"/>
          <w:szCs w:val="24"/>
        </w:rPr>
        <w:t>еакция 5 степени, включая артериальное кровотечение, геморрагический инсульт, внутричерепное кровоизлияние, внутричерепное кровоизлияние из опухоли, кровавую рвоту, мелену, кровохарканье и кровоизлияние из опухоли.</w:t>
      </w:r>
    </w:p>
    <w:p w14:paraId="5D455875" w14:textId="77777777" w:rsidR="00B73FDA" w:rsidRPr="005A46FC" w:rsidRDefault="00B73FDA"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485F770A" w14:textId="77777777" w:rsidR="00E47BE8" w:rsidRPr="005A46FC" w:rsidRDefault="00B73FDA" w:rsidP="00E47BE8">
      <w:pPr>
        <w:spacing w:after="0" w:line="240" w:lineRule="auto"/>
        <w:jc w:val="both"/>
        <w:rPr>
          <w:rFonts w:ascii="Times New Roman" w:hAnsi="Times New Roman"/>
          <w:sz w:val="24"/>
          <w:szCs w:val="24"/>
        </w:rPr>
      </w:pPr>
      <w:r w:rsidRPr="005A46FC">
        <w:rPr>
          <w:rFonts w:ascii="Times New Roman" w:hAnsi="Times New Roman"/>
          <w:sz w:val="24"/>
          <w:szCs w:val="24"/>
        </w:rPr>
        <w:lastRenderedPageBreak/>
        <w:t>В исследовании 309 фазы 3 (см. раздел 5.1) кровотечение было зарегистрировано у 24,4% пациентов, получавших ленватиниб плюс пембролизумаб, а реакции ≥3 степени развились у 3,0% пациентов. Среднее время до начала заболевания составило 65,0 дней. Прерывание дозы, снижение дозы и отмена ленватиниба имели место у 1,7%, 1,2% и 1,7% пациентов соответственно.</w:t>
      </w:r>
    </w:p>
    <w:p w14:paraId="1166A21D" w14:textId="77777777" w:rsidR="00B73FDA" w:rsidRPr="005A46FC" w:rsidRDefault="00B73FDA" w:rsidP="00B73FDA">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Гипокальциемия (см. раздел 4.4)</w:t>
      </w:r>
    </w:p>
    <w:p w14:paraId="2965E018" w14:textId="77777777" w:rsidR="00B73FDA" w:rsidRPr="005A46FC" w:rsidRDefault="00B73FDA" w:rsidP="00B73FDA">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4452BCFA" w14:textId="77777777" w:rsidR="00B73FDA" w:rsidRPr="005A46FC" w:rsidRDefault="00B73FDA" w:rsidP="00B73FDA">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3 фазы (см. раздел 5.1) гипокальциемия была зарегистрирована у 12,6% пациентов, получавших ленватиниб, по сравнению с</w:t>
      </w:r>
      <w:r w:rsidR="00AF1726" w:rsidRPr="005A46FC">
        <w:rPr>
          <w:rFonts w:ascii="Times New Roman" w:hAnsi="Times New Roman"/>
          <w:sz w:val="24"/>
          <w:szCs w:val="24"/>
        </w:rPr>
        <w:t xml:space="preserve"> </w:t>
      </w:r>
      <w:r w:rsidRPr="005A46FC">
        <w:rPr>
          <w:rFonts w:ascii="Times New Roman" w:hAnsi="Times New Roman"/>
          <w:sz w:val="24"/>
          <w:szCs w:val="24"/>
        </w:rPr>
        <w:t>групп</w:t>
      </w:r>
      <w:r w:rsidR="00AF1726" w:rsidRPr="005A46FC">
        <w:rPr>
          <w:rFonts w:ascii="Times New Roman" w:hAnsi="Times New Roman"/>
          <w:sz w:val="24"/>
          <w:szCs w:val="24"/>
        </w:rPr>
        <w:t xml:space="preserve">ой </w:t>
      </w:r>
      <w:r w:rsidRPr="005A46FC">
        <w:rPr>
          <w:rFonts w:ascii="Times New Roman" w:hAnsi="Times New Roman"/>
          <w:sz w:val="24"/>
          <w:szCs w:val="24"/>
        </w:rPr>
        <w:t>плацебо</w:t>
      </w:r>
      <w:r w:rsidR="00AF1726" w:rsidRPr="005A46FC">
        <w:rPr>
          <w:rFonts w:ascii="Times New Roman" w:hAnsi="Times New Roman"/>
          <w:sz w:val="24"/>
          <w:szCs w:val="24"/>
        </w:rPr>
        <w:t>, где такие случаи отсутствовали</w:t>
      </w:r>
      <w:r w:rsidRPr="005A46FC">
        <w:rPr>
          <w:rFonts w:ascii="Times New Roman" w:hAnsi="Times New Roman"/>
          <w:sz w:val="24"/>
          <w:szCs w:val="24"/>
        </w:rPr>
        <w:t>. Среднее время до появления первых симптомов у пациентов, получавших ленватиниб, составило 11,1 недел</w:t>
      </w:r>
      <w:r w:rsidR="00AF1726" w:rsidRPr="005A46FC">
        <w:rPr>
          <w:rFonts w:ascii="Times New Roman" w:hAnsi="Times New Roman"/>
          <w:sz w:val="24"/>
          <w:szCs w:val="24"/>
        </w:rPr>
        <w:t>ь</w:t>
      </w:r>
      <w:r w:rsidRPr="005A46FC">
        <w:rPr>
          <w:rFonts w:ascii="Times New Roman" w:hAnsi="Times New Roman"/>
          <w:sz w:val="24"/>
          <w:szCs w:val="24"/>
        </w:rPr>
        <w:t>. Реакции 3 или 4 степени тяжести наблюдались у 5,0% пациентов, получавших ленватиниб, по сравнению с 0</w:t>
      </w:r>
      <w:r w:rsidR="00AF1726" w:rsidRPr="005A46FC">
        <w:rPr>
          <w:rFonts w:ascii="Times New Roman" w:hAnsi="Times New Roman"/>
          <w:sz w:val="24"/>
          <w:szCs w:val="24"/>
        </w:rPr>
        <w:t>%</w:t>
      </w:r>
      <w:r w:rsidRPr="005A46FC">
        <w:rPr>
          <w:rFonts w:ascii="Times New Roman" w:hAnsi="Times New Roman"/>
          <w:sz w:val="24"/>
          <w:szCs w:val="24"/>
        </w:rPr>
        <w:t xml:space="preserve"> пациент</w:t>
      </w:r>
      <w:r w:rsidR="00AF1726" w:rsidRPr="005A46FC">
        <w:rPr>
          <w:rFonts w:ascii="Times New Roman" w:hAnsi="Times New Roman"/>
          <w:sz w:val="24"/>
          <w:szCs w:val="24"/>
        </w:rPr>
        <w:t>ов</w:t>
      </w:r>
      <w:r w:rsidRPr="005A46FC">
        <w:rPr>
          <w:rFonts w:ascii="Times New Roman" w:hAnsi="Times New Roman"/>
          <w:sz w:val="24"/>
          <w:szCs w:val="24"/>
        </w:rPr>
        <w:t xml:space="preserve">, получавшими плацебо. Большинство реакций разрешились после поддерживающего лечения без прерывания или снижения дозы, что </w:t>
      </w:r>
      <w:r w:rsidR="00AF1726" w:rsidRPr="005A46FC">
        <w:rPr>
          <w:rFonts w:ascii="Times New Roman" w:hAnsi="Times New Roman"/>
          <w:sz w:val="24"/>
          <w:szCs w:val="24"/>
        </w:rPr>
        <w:t>имели место</w:t>
      </w:r>
      <w:r w:rsidRPr="005A46FC">
        <w:rPr>
          <w:rFonts w:ascii="Times New Roman" w:hAnsi="Times New Roman"/>
          <w:sz w:val="24"/>
          <w:szCs w:val="24"/>
        </w:rPr>
        <w:t xml:space="preserve"> у 1,5% и 1,1% пациентов соответственно; 1 пациент с гипокальциемией 4 степени окончательно прекратил лечение.</w:t>
      </w:r>
    </w:p>
    <w:p w14:paraId="3528AEDE" w14:textId="77777777" w:rsidR="00B73FDA" w:rsidRPr="005A46FC" w:rsidRDefault="00B73FDA" w:rsidP="00B73FDA">
      <w:pPr>
        <w:spacing w:after="0" w:line="240" w:lineRule="auto"/>
        <w:jc w:val="both"/>
        <w:rPr>
          <w:rFonts w:ascii="Times New Roman" w:hAnsi="Times New Roman"/>
          <w:i/>
          <w:iCs/>
          <w:sz w:val="24"/>
          <w:szCs w:val="24"/>
        </w:rPr>
      </w:pPr>
      <w:r w:rsidRPr="005A46FC">
        <w:rPr>
          <w:rFonts w:ascii="Times New Roman" w:hAnsi="Times New Roman"/>
          <w:i/>
          <w:iCs/>
          <w:sz w:val="24"/>
          <w:szCs w:val="24"/>
        </w:rPr>
        <w:t>ГЦ</w:t>
      </w:r>
      <w:r w:rsidR="00AF1726" w:rsidRPr="005A46FC">
        <w:rPr>
          <w:rFonts w:ascii="Times New Roman" w:hAnsi="Times New Roman"/>
          <w:i/>
          <w:iCs/>
          <w:sz w:val="24"/>
          <w:szCs w:val="24"/>
        </w:rPr>
        <w:t>Р</w:t>
      </w:r>
    </w:p>
    <w:p w14:paraId="74C951A3" w14:textId="77777777" w:rsidR="00B73FDA" w:rsidRPr="005A46FC" w:rsidRDefault="00B73FDA" w:rsidP="00B73FDA">
      <w:pPr>
        <w:spacing w:after="0" w:line="240" w:lineRule="auto"/>
        <w:jc w:val="both"/>
        <w:rPr>
          <w:rFonts w:ascii="Times New Roman" w:hAnsi="Times New Roman"/>
          <w:sz w:val="24"/>
          <w:szCs w:val="24"/>
        </w:rPr>
      </w:pPr>
      <w:r w:rsidRPr="005A46FC">
        <w:rPr>
          <w:rFonts w:ascii="Times New Roman" w:hAnsi="Times New Roman"/>
          <w:sz w:val="24"/>
          <w:szCs w:val="24"/>
        </w:rPr>
        <w:t xml:space="preserve">В исследовании REFLECT фазы 3 (см. раздел 5.1) гипокальциемия была отмечена у 1,1% пациентов, а реакции 3-й степени наблюдались у 0,4%. Прерывание дозы ленватиниба из-за гипокальциемии </w:t>
      </w:r>
      <w:r w:rsidR="00AF1726" w:rsidRPr="005A46FC">
        <w:rPr>
          <w:rFonts w:ascii="Times New Roman" w:hAnsi="Times New Roman"/>
          <w:sz w:val="24"/>
          <w:szCs w:val="24"/>
        </w:rPr>
        <w:t>имело место</w:t>
      </w:r>
      <w:r w:rsidRPr="005A46FC">
        <w:rPr>
          <w:rFonts w:ascii="Times New Roman" w:hAnsi="Times New Roman"/>
          <w:sz w:val="24"/>
          <w:szCs w:val="24"/>
        </w:rPr>
        <w:t xml:space="preserve"> у одного субъекта (0,2%), снижения дозы или отмены не </w:t>
      </w:r>
      <w:r w:rsidR="00AF1726" w:rsidRPr="005A46FC">
        <w:rPr>
          <w:rFonts w:ascii="Times New Roman" w:hAnsi="Times New Roman"/>
          <w:sz w:val="24"/>
          <w:szCs w:val="24"/>
        </w:rPr>
        <w:t>наблюдалось</w:t>
      </w:r>
      <w:r w:rsidRPr="005A46FC">
        <w:rPr>
          <w:rFonts w:ascii="Times New Roman" w:hAnsi="Times New Roman"/>
          <w:sz w:val="24"/>
          <w:szCs w:val="24"/>
        </w:rPr>
        <w:t>.</w:t>
      </w:r>
    </w:p>
    <w:p w14:paraId="6A4DD5FE" w14:textId="77777777" w:rsidR="00AF1726" w:rsidRPr="005A46FC" w:rsidRDefault="00AF1726" w:rsidP="00B73FDA">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4717742C" w14:textId="77777777" w:rsidR="00B73FDA" w:rsidRPr="005A46FC" w:rsidRDefault="00B73FDA" w:rsidP="00B73FDA">
      <w:pPr>
        <w:spacing w:after="0" w:line="240" w:lineRule="auto"/>
        <w:jc w:val="both"/>
        <w:rPr>
          <w:rFonts w:ascii="Times New Roman" w:hAnsi="Times New Roman"/>
          <w:sz w:val="24"/>
          <w:szCs w:val="24"/>
        </w:rPr>
      </w:pPr>
      <w:r w:rsidRPr="005A46FC">
        <w:rPr>
          <w:rFonts w:ascii="Times New Roman" w:hAnsi="Times New Roman"/>
          <w:sz w:val="24"/>
          <w:szCs w:val="24"/>
        </w:rPr>
        <w:t xml:space="preserve">В исследовании </w:t>
      </w:r>
      <w:r w:rsidR="00AF1726" w:rsidRPr="005A46FC">
        <w:rPr>
          <w:rFonts w:ascii="Times New Roman" w:hAnsi="Times New Roman"/>
          <w:sz w:val="24"/>
          <w:szCs w:val="24"/>
        </w:rPr>
        <w:t xml:space="preserve">309 </w:t>
      </w:r>
      <w:r w:rsidRPr="005A46FC">
        <w:rPr>
          <w:rFonts w:ascii="Times New Roman" w:hAnsi="Times New Roman"/>
          <w:sz w:val="24"/>
          <w:szCs w:val="24"/>
        </w:rPr>
        <w:t xml:space="preserve">фазы </w:t>
      </w:r>
      <w:r w:rsidR="00AF1726" w:rsidRPr="005A46FC">
        <w:rPr>
          <w:rFonts w:ascii="Times New Roman" w:hAnsi="Times New Roman"/>
          <w:sz w:val="24"/>
          <w:szCs w:val="24"/>
        </w:rPr>
        <w:t xml:space="preserve">3 </w:t>
      </w:r>
      <w:r w:rsidRPr="005A46FC">
        <w:rPr>
          <w:rFonts w:ascii="Times New Roman" w:hAnsi="Times New Roman"/>
          <w:sz w:val="24"/>
          <w:szCs w:val="24"/>
        </w:rPr>
        <w:t>(см. раздел 5.1) гипокальциемия была зарегистрирована у 3,9 % пациентов, получавших ленватиниб плюс пембролизумаб, а реакции ≥3 степени развились у 1,0 % пациентов. Среднее время до начала заболевания составило 148,0 дней. Сообщений об изменении дозы ленватиниба не поступало.</w:t>
      </w:r>
    </w:p>
    <w:p w14:paraId="69D0A256" w14:textId="77777777" w:rsidR="00AF1726" w:rsidRPr="005A46FC" w:rsidRDefault="00AF1726" w:rsidP="00AF1726">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Перфорация желудочно-кишечного тракта и образование свищей (см. раздел 4.4)</w:t>
      </w:r>
    </w:p>
    <w:p w14:paraId="03F09BBB" w14:textId="77777777" w:rsidR="00AF1726" w:rsidRPr="005A46FC" w:rsidRDefault="00AF1726" w:rsidP="00AF1726">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40930A48" w14:textId="77777777" w:rsidR="00AF1726" w:rsidRPr="005A46FC" w:rsidRDefault="00AF1726" w:rsidP="00AF1726">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3 фазы SELECT (см. раздел 5.1) случаи перфорации желудочно-кишечного тракта или свища были зарегистрированы у 1,9% пациентов, получавших ленватиниб, и у 0,8% пациентов в группе плацебо.</w:t>
      </w:r>
    </w:p>
    <w:p w14:paraId="63FE5295" w14:textId="77777777" w:rsidR="00AF1726" w:rsidRPr="005A46FC" w:rsidRDefault="00AF1726" w:rsidP="00AF1726">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2EB30395" w14:textId="77777777" w:rsidR="00AF1726" w:rsidRPr="005A46FC" w:rsidRDefault="00AF1726" w:rsidP="00AF1726">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случаи перфорации желудочно-кишечного тракта или свища были зарегистрированы у 1,9% пациентов, получавших ленватиниб.</w:t>
      </w:r>
    </w:p>
    <w:p w14:paraId="249D42B9" w14:textId="77777777" w:rsidR="00AF1726" w:rsidRPr="005A46FC" w:rsidRDefault="00AF1726" w:rsidP="00AF1726">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401573A5" w14:textId="77777777" w:rsidR="00AF1726" w:rsidRPr="005A46FC" w:rsidRDefault="00AF1726" w:rsidP="00AF1726">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случаи образования свищей были зарегистрированы у 2,5% пациентов, получавших ленватиниб плюс пембролизумаб, а реакции ≥3 степени развились у 2,5% пациентов. Среднее время до начала заболевания составило 117,0 дней. Прекращение приема ленватиниба имело место у 1,0% пациентов. Случаи перфорации желудочно-кишечного тракта были зарегистрированы у 3,9% пациентов, получавших ленватиниб плюс пембролизумаб, а реакции ≥3 степени развились у 3,0% пациентов. Среднее время до начала заболевания составило 42 дня. Прерывание дозы и отмена ленватиниба имели место у 0,5% и 3,0% пациентов соответственно.</w:t>
      </w:r>
    </w:p>
    <w:p w14:paraId="120262E0" w14:textId="77777777" w:rsidR="00AF1726" w:rsidRPr="005A46FC" w:rsidRDefault="00AF1726" w:rsidP="00AF1726">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Негастроэнтерологические свищи (см. раздел 4.4)</w:t>
      </w:r>
    </w:p>
    <w:p w14:paraId="0097EE5D" w14:textId="77777777" w:rsidR="00AF1726" w:rsidRPr="005A46FC" w:rsidRDefault="00AF1726" w:rsidP="00AF1726">
      <w:pPr>
        <w:spacing w:after="0" w:line="240" w:lineRule="auto"/>
        <w:jc w:val="both"/>
        <w:rPr>
          <w:rFonts w:ascii="Times New Roman" w:hAnsi="Times New Roman"/>
          <w:sz w:val="24"/>
          <w:szCs w:val="24"/>
        </w:rPr>
      </w:pPr>
      <w:r w:rsidRPr="005A46FC">
        <w:rPr>
          <w:rFonts w:ascii="Times New Roman" w:hAnsi="Times New Roman"/>
          <w:sz w:val="24"/>
          <w:szCs w:val="24"/>
        </w:rPr>
        <w:t>Применение ленватиниба было связано со случаями образования свищей, включая реакции, приводящие к смерти. Сообщения о свищах, которые затрагивают другие области тела, кроме желудка или кишечника, наблюдались по различным показаниям. Сообщалось о реакциях в различные моменты времени во время лечения, начиная от двух недель и заканчивая более чем 1 годом с момента начала приема ленватиниба, со средним латентным периодом около 3 месяцев.</w:t>
      </w:r>
    </w:p>
    <w:p w14:paraId="5FA02818" w14:textId="77777777" w:rsidR="00AE6184" w:rsidRPr="005A46FC" w:rsidRDefault="00AE6184" w:rsidP="00AE618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lastRenderedPageBreak/>
        <w:t>Удлинение интервала QT (см. раздел 4.4)</w:t>
      </w:r>
    </w:p>
    <w:p w14:paraId="1E2F1769"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0FA1CB4C"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3 фазы (см. раздел 5.1) удлинение интервала QT/QTc было зарегистрировано у 8,8% пациентов, получавших ленватиниб, и у 1,5% пациентов в группе плацебо. Частота удлинения интервала QT более чем на 500 мс составила 2% у пациентов, получавших ленватиниб, по сравнению с группой плацебо, где этого не наблюдалось.</w:t>
      </w:r>
    </w:p>
    <w:p w14:paraId="4D00E645"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368EBFBB"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удлинение интервала QT/QTc было зарегистрировано у 6,9% пациентов, получавших ленватиниб. Частота удлинения интервала QTcF более чем на 500 мс составила 2,4%.</w:t>
      </w:r>
    </w:p>
    <w:p w14:paraId="1D5E3A88"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42F845D4"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удлинение интервала QT было зарегистрировано у 3,9% пациентов, получавших ленватиниб плюс пембролизумаб, а реакции ≥3 степени развились у 0,5% пациентов.</w:t>
      </w:r>
    </w:p>
    <w:p w14:paraId="499BA85D"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Среднее время до начала заболевания составило 115,5 дней. Прерывание дозы и снижение дозы ленватиниба имели место у 0,2% и 0,5% пациентов соответственно.</w:t>
      </w:r>
    </w:p>
    <w:p w14:paraId="7396C329" w14:textId="77777777" w:rsidR="00AE6184" w:rsidRPr="005A46FC" w:rsidRDefault="00AE6184" w:rsidP="00AE618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Повышение уровня тиреотропного гормона в крови (см. раздел 4.4)</w:t>
      </w:r>
    </w:p>
    <w:p w14:paraId="79C9F1C1"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534C6EAD"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основном исследовании SELECT фазы 3 (см. раздел 5.1) у 88% всех пациентов исходный уровень ТТГ был ≤ 0,5 мЕд/л. У пациентов с нормальным исходным уровнем ТТГ повышение уровня выше 0,5 мЕд/л наблюдалось после исходного уровня у 57% пациентов, получавших ленватиниб, по сравнению с 14% пациентов, получавших плацебо.</w:t>
      </w:r>
    </w:p>
    <w:p w14:paraId="363EBC8A"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1FD3BDDF"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у 89,6% пациентов исходный уровень ТТГ был ниже верхней границы нормы. Повышение ТТГ выше верхней границы нормы наблюдалось после исходного уровня у 69,6% пациентов, получавших ленватиниб.</w:t>
      </w:r>
    </w:p>
    <w:p w14:paraId="1927CF48"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2747CAA2"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гипотиреоз был зарегистрирован у 68,2% пациентов, получавших ленватиниб плюс пембролизумаб, а реакции ≥3 степени развились у 1,2% пациентов. Среднее время до начала заболевания составило 62,0 дня. Прерывание дозы и снижение дозы ленватиниба имели место у 2,2% и 0,7% пациентов соответственно.</w:t>
      </w:r>
    </w:p>
    <w:p w14:paraId="08357BA7" w14:textId="77777777" w:rsidR="00AF1726"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Повышение ТТГ в крови было зарегистрировано у 12,8% пациентов, получавших ленватиниб плюс пембролизумаб, при этом ни от одного из пациентов не наблюдалось реакции степени ≥3. Прерывание дозы наблюдалось у 0,2% пациентов.</w:t>
      </w:r>
    </w:p>
    <w:p w14:paraId="06D55E22" w14:textId="77777777" w:rsidR="00AE6184" w:rsidRPr="005A46FC" w:rsidRDefault="00AE6184" w:rsidP="00AE618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Диарея (см. раздел 4.4)</w:t>
      </w:r>
    </w:p>
    <w:p w14:paraId="4288F520"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1B309E00"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фазы 3 (см. раздел 5.1) диарея была зарегистрирована у 67,4% пациентов в группе, получавшей ленватиниб (9,2% имели степень ≥ 3), и у 16,8% пациентов в группе плацебо (ни у одного не наблюдалось диареи степени ≥ 3).</w:t>
      </w:r>
    </w:p>
    <w:p w14:paraId="332A2384"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72A15DA9"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диарея была зарегистрирована у 38,7% пациентов, получавших ленватиниб (4,2% имели степень ≥ 3).</w:t>
      </w:r>
    </w:p>
    <w:p w14:paraId="33930D03"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2B67063B"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диарея была зарегистрирована у 54,2% пациентов, получавших ленватиниб плюс пембролизумаб (у 7,6% была степень ≥ 3). Прерывание дозы, снижение дозы и отмена ленватиниба имели место у 10,6%, 11,1% и 1,2% пациентов соответственно.</w:t>
      </w:r>
    </w:p>
    <w:p w14:paraId="2A66CC9E" w14:textId="77777777" w:rsidR="003B2474" w:rsidRPr="005A46FC" w:rsidRDefault="003B2474" w:rsidP="003B247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Дети</w:t>
      </w:r>
    </w:p>
    <w:p w14:paraId="44C4924E" w14:textId="77777777" w:rsidR="002C0DF1" w:rsidRPr="005A46FC" w:rsidRDefault="002C0DF1" w:rsidP="003B2474">
      <w:pPr>
        <w:spacing w:after="0" w:line="240" w:lineRule="auto"/>
        <w:jc w:val="both"/>
        <w:rPr>
          <w:rFonts w:ascii="Times New Roman" w:hAnsi="Times New Roman"/>
          <w:sz w:val="24"/>
          <w:szCs w:val="24"/>
        </w:rPr>
      </w:pPr>
      <w:r w:rsidRPr="005A46FC">
        <w:rPr>
          <w:rFonts w:ascii="Times New Roman" w:hAnsi="Times New Roman"/>
          <w:sz w:val="24"/>
          <w:szCs w:val="24"/>
        </w:rPr>
        <w:lastRenderedPageBreak/>
        <w:t>В исследованиях у детей 207, 216, 230 и 231 (см. раздел 5.1) общий профиль безопасности ленватиниба в монотерапии или в комбинации с ифосфамидом и этопозидом или эверолимусом соответствовал профилю безопасности, наблюдаемому у взрослых, получавших ленватиниб.</w:t>
      </w:r>
    </w:p>
    <w:p w14:paraId="442D8A0F" w14:textId="77777777" w:rsidR="002C0DF1" w:rsidRPr="005A46FC" w:rsidRDefault="002C0DF1" w:rsidP="003B2474">
      <w:pPr>
        <w:spacing w:after="0" w:line="240" w:lineRule="auto"/>
        <w:jc w:val="both"/>
        <w:rPr>
          <w:rFonts w:ascii="Times New Roman" w:hAnsi="Times New Roman"/>
          <w:sz w:val="24"/>
          <w:szCs w:val="24"/>
        </w:rPr>
      </w:pPr>
      <w:r w:rsidRPr="005A46FC">
        <w:rPr>
          <w:rFonts w:ascii="Times New Roman" w:hAnsi="Times New Roman"/>
          <w:sz w:val="24"/>
          <w:szCs w:val="24"/>
        </w:rPr>
        <w:t>У пациентов с рецидивирующей/рефрактерной остеосаркомой частота пневмоторакса была выше, чем у взрослых с ДОК, ГЦК, ПКР и РЭ. В исследовании 207 пневмоторакс возник у 6 пациентов (10,9%), принимавших монопрепарат ленватиниб, и у 7 пациентов (16,7%), принимавших ленватиниб в комбинации с ифосфамидом и этопозидом. В целом 2 пациента прекратили лечение в рамках исследования из-за пневмоторакса. В исследовании 230 пневмоторакс был зарегистрирован у 12 пациентов (11 пациентов (28,2%), получавших ленватиниб плюс ифосфамид и этопозид, и 1 пациент (2,6%), получавших ифосфамид и этопозид). В исследовании 216 пневмоторакс был зарегистрирован у 3 пациентов (4,7%) с саркомой Юинга, рабдомиосаркомой (РМС) и опухолью Вильмса; у всех 3 пациентов исходно были метастазы в легких. В исследовании 231 пневмоторакс был зарегистрирован у 7 пациентов (5,5%) с веретеноклеточной саркомой, недифференцированной саркомой, РРС, злокачественной опухолью оболочек периферических нервов, синовиальной саркомой, веретеноклеточной карциномой и злокачественной фибромиксоидной оссифицирующей опухолью; у всех 7 пациентов исходно были метастазы в легких или первичное заболевание в грудной стенке или плевральной полости. В исследованиях 216, 230 и 231 ни один пациент не прекратил лечение в рамках исследования из-за пневмоторакса. Возникновение пневмоторакса, по-видимому, в основном связано с легочными метастазами и основным заболеванием.</w:t>
      </w:r>
    </w:p>
    <w:p w14:paraId="2216457B" w14:textId="77777777" w:rsidR="002C0DF1" w:rsidRPr="005A46FC" w:rsidRDefault="00B740B0" w:rsidP="003B2474">
      <w:pPr>
        <w:spacing w:after="0" w:line="240" w:lineRule="auto"/>
        <w:jc w:val="both"/>
        <w:rPr>
          <w:rFonts w:ascii="Times New Roman" w:hAnsi="Times New Roman"/>
          <w:sz w:val="24"/>
          <w:szCs w:val="24"/>
        </w:rPr>
      </w:pPr>
      <w:r w:rsidRPr="005A46FC">
        <w:rPr>
          <w:rFonts w:ascii="Times New Roman" w:hAnsi="Times New Roman"/>
          <w:sz w:val="24"/>
          <w:szCs w:val="24"/>
        </w:rPr>
        <w:t>В когорте исследования 207, подбиравшей дозу одного препарата, наиболее часто (≥40%) сообщалось о побочных реакциях на лекарственные препараты: снижение аппетита, диарея, гипотиреоз, рвота, боли в животе, лихорадка, гипертония и снижение веса; а в когорте пациентов с рецидивирующей или рефрактерной остеосаркомой, включенной в монотерапию, наиболее часто (≥40%) сообщалось о нежелательных реакциях на лекарственные препараты, которые включали снижение аппетита, головную боль, рвоту, гипотиреоз и протеинурию.</w:t>
      </w:r>
    </w:p>
    <w:p w14:paraId="4B7445F7" w14:textId="77777777" w:rsidR="002C0DF1" w:rsidRPr="005A46FC" w:rsidRDefault="00B740B0" w:rsidP="003B2474">
      <w:pPr>
        <w:spacing w:after="0" w:line="240" w:lineRule="auto"/>
        <w:jc w:val="both"/>
        <w:rPr>
          <w:rFonts w:ascii="Times New Roman" w:hAnsi="Times New Roman"/>
          <w:sz w:val="24"/>
          <w:szCs w:val="24"/>
        </w:rPr>
      </w:pPr>
      <w:r w:rsidRPr="005A46FC">
        <w:rPr>
          <w:rFonts w:ascii="Times New Roman" w:hAnsi="Times New Roman"/>
          <w:sz w:val="24"/>
          <w:szCs w:val="24"/>
        </w:rPr>
        <w:t>В когорте исследования 207 с подбором комбинированной дозы наиболее часто (≥50%) сообщалось о нежелательных реакциях на лекарственные средства: рвота, анемия, тошнота, диарея, гипотиреоз, боль в животе, артралгия, носовое кровотечение, нейтропения, запор, головная боль и боль в животе. конечность; а в когорте расширения комбинации наиболее часто (≥50%) сообщалось о нежелательных реакциях на лекарственные средства, которые включали анемию, тошноту, снижение количества лейкоцитов, диарею, рвоту и снижение количества тромбоцитов.</w:t>
      </w:r>
    </w:p>
    <w:p w14:paraId="46ACFD1B" w14:textId="77777777" w:rsidR="00B740B0" w:rsidRPr="005A46FC" w:rsidRDefault="00B740B0" w:rsidP="00B740B0">
      <w:pPr>
        <w:spacing w:after="0" w:line="240" w:lineRule="auto"/>
        <w:jc w:val="both"/>
        <w:rPr>
          <w:rFonts w:ascii="Times New Roman" w:hAnsi="Times New Roman"/>
          <w:sz w:val="24"/>
          <w:szCs w:val="24"/>
        </w:rPr>
      </w:pPr>
      <w:r w:rsidRPr="005A46FC">
        <w:rPr>
          <w:rFonts w:ascii="Times New Roman" w:hAnsi="Times New Roman"/>
          <w:sz w:val="24"/>
          <w:szCs w:val="24"/>
        </w:rPr>
        <w:t>В фазе 1 (группа по подбору комбинированной дозы) исследования 216 наиболее часто (≥40%) сообщавшимися побочными реакциями на лекарственные средства были гипертензия, гипотиреоз, гипертриглицеридемия, боль в животе и диарея; а в фазе 2 (когорта расширения комбинации) наиболее частыми (≥35%) побочными реакциями на лекарственные препараты были гипертриглицеридемия, протеинурия, диарея, снижение количества лимфоцитов, снижение количества лейкоцитов, повышение уровня холестерина в крови, утомляемость и снижение количества тромбоцитов.</w:t>
      </w:r>
    </w:p>
    <w:p w14:paraId="7576CF9E" w14:textId="77777777" w:rsidR="00B740B0" w:rsidRPr="005A46FC" w:rsidRDefault="00B740B0" w:rsidP="00B740B0">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OLIE (Исследование 230) наиболее часто (≥35%) сообщавшимися побочными реакциями на лекарственные средства были гипотиреоз, анемия, тошнота, снижение количества тромбоцитов, протеинурия, рвота, боли в спине, фебрильная нейтропения, гипертония, запор, диарея, количество нейтрофилов. снижение, гипертермия.</w:t>
      </w:r>
    </w:p>
    <w:p w14:paraId="6A07E64B" w14:textId="77777777" w:rsidR="002C0DF1" w:rsidRPr="005A46FC" w:rsidRDefault="00B740B0" w:rsidP="003B247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231 наиболее частыми (≥15%) побочными реакциями на лекарственные препараты были гипотиреоз, гипертония, протеинурия, снижение аппетита, диарея и снижение количества тромбоцитов.</w:t>
      </w:r>
    </w:p>
    <w:p w14:paraId="4C1ABBDD" w14:textId="77777777" w:rsidR="003B2474" w:rsidRPr="005A46FC" w:rsidRDefault="003B2474" w:rsidP="003B247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lastRenderedPageBreak/>
        <w:t>Другие особые группы населения</w:t>
      </w:r>
    </w:p>
    <w:p w14:paraId="38A5E75A" w14:textId="77777777" w:rsidR="003B2474" w:rsidRPr="005A46FC" w:rsidRDefault="003B2474" w:rsidP="003B2474">
      <w:pPr>
        <w:spacing w:after="0" w:line="240" w:lineRule="auto"/>
        <w:jc w:val="both"/>
        <w:rPr>
          <w:rFonts w:ascii="Times New Roman" w:hAnsi="Times New Roman"/>
          <w:i/>
          <w:iCs/>
          <w:sz w:val="24"/>
          <w:szCs w:val="24"/>
        </w:rPr>
      </w:pPr>
      <w:r w:rsidRPr="005A46FC">
        <w:rPr>
          <w:rFonts w:ascii="Times New Roman" w:hAnsi="Times New Roman"/>
          <w:i/>
          <w:iCs/>
          <w:sz w:val="24"/>
          <w:szCs w:val="24"/>
        </w:rPr>
        <w:t>Пациенты пожилого возраста</w:t>
      </w:r>
    </w:p>
    <w:p w14:paraId="4FA927E9" w14:textId="77777777" w:rsidR="003B2474" w:rsidRPr="005A46FC" w:rsidRDefault="003B2474" w:rsidP="003B247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276CE2AC" w14:textId="77777777" w:rsidR="003B2474" w:rsidRPr="005A46FC" w:rsidRDefault="003B2474" w:rsidP="003B2474">
      <w:pPr>
        <w:spacing w:after="0" w:line="240" w:lineRule="auto"/>
        <w:jc w:val="both"/>
        <w:rPr>
          <w:rFonts w:ascii="Times New Roman" w:hAnsi="Times New Roman"/>
          <w:sz w:val="24"/>
          <w:szCs w:val="24"/>
        </w:rPr>
      </w:pPr>
      <w:r w:rsidRPr="005A46FC">
        <w:rPr>
          <w:rFonts w:ascii="Times New Roman" w:hAnsi="Times New Roman"/>
          <w:sz w:val="24"/>
          <w:szCs w:val="24"/>
        </w:rPr>
        <w:t>Пациенты в возрасте ≥75 лет чаще испытывали артериальную гипертензию 3 или 4 степени, протеинурию, снижение аппетита и обезвоживание.</w:t>
      </w:r>
    </w:p>
    <w:p w14:paraId="1740AFD6" w14:textId="77777777" w:rsidR="003B2474" w:rsidRPr="005A46FC" w:rsidRDefault="003B2474" w:rsidP="003B2474">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27A665EE" w14:textId="77777777" w:rsidR="003B2474" w:rsidRPr="005A46FC" w:rsidRDefault="003B2474" w:rsidP="003B2474">
      <w:pPr>
        <w:spacing w:after="0" w:line="240" w:lineRule="auto"/>
        <w:jc w:val="both"/>
        <w:rPr>
          <w:rFonts w:ascii="Times New Roman" w:hAnsi="Times New Roman"/>
          <w:sz w:val="24"/>
          <w:szCs w:val="24"/>
        </w:rPr>
      </w:pPr>
      <w:r w:rsidRPr="005A46FC">
        <w:rPr>
          <w:rFonts w:ascii="Times New Roman" w:hAnsi="Times New Roman"/>
          <w:sz w:val="24"/>
          <w:szCs w:val="24"/>
        </w:rPr>
        <w:t>У пациентов в возрасте ≥75 лет чаще наблюдались артериальная гипертензия, протеинурия, снижение аппетита, астения, обезвоживание, головокружение, недомогание, периферические отеки, зуд и печеночная энцефалопатия. Печеночная энцефалопатия встречалась более чем в два раза чаще у пациентов в возрасте ≥75 лет (17,2%), чем у лиц моложе 75 лет (7,1%). Печеночная энцефалопатия, как правило, ассоциировалась с неблагоприятными характеристиками заболевания в начале исследования или с применением сопутствующих лекарственных средств. Артериальные тромбоэмболические осложнения также встречались с повышенной частотой в данной возрастной группе.</w:t>
      </w:r>
    </w:p>
    <w:p w14:paraId="35A1365A" w14:textId="77777777" w:rsidR="003B2474" w:rsidRPr="005A46FC" w:rsidRDefault="003B2474" w:rsidP="003B2474">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04AEDAD6" w14:textId="77777777" w:rsidR="003B2474" w:rsidRPr="005A46FC" w:rsidRDefault="003B2474" w:rsidP="003B2474">
      <w:pPr>
        <w:spacing w:after="0" w:line="240" w:lineRule="auto"/>
        <w:jc w:val="both"/>
        <w:rPr>
          <w:rFonts w:ascii="Times New Roman" w:hAnsi="Times New Roman"/>
          <w:sz w:val="24"/>
          <w:szCs w:val="24"/>
        </w:rPr>
      </w:pPr>
      <w:r w:rsidRPr="005A46FC">
        <w:rPr>
          <w:rFonts w:ascii="Times New Roman" w:hAnsi="Times New Roman"/>
          <w:sz w:val="24"/>
          <w:szCs w:val="24"/>
        </w:rPr>
        <w:t>Пациенты в возрасте ≥75 лет чаще страдали инфекциями мочевыводящих путей и артериальной гипертензией ≥3 степени (увеличение на ≥10% по сравнению с пациентами в возрасте &lt;65 лет).</w:t>
      </w:r>
    </w:p>
    <w:p w14:paraId="430E09CD" w14:textId="77777777" w:rsidR="003B2474" w:rsidRPr="005A46FC" w:rsidRDefault="003B2474" w:rsidP="003B247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Пол</w:t>
      </w:r>
    </w:p>
    <w:p w14:paraId="0C9AD0F2" w14:textId="77777777" w:rsidR="003B2474" w:rsidRPr="005A46FC" w:rsidRDefault="003B2474" w:rsidP="003B247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2A4E94BB" w14:textId="77777777" w:rsidR="003B2474" w:rsidRPr="005A46FC" w:rsidRDefault="003B2474" w:rsidP="003B2474">
      <w:pPr>
        <w:spacing w:after="0" w:line="240" w:lineRule="auto"/>
        <w:jc w:val="both"/>
        <w:rPr>
          <w:rFonts w:ascii="Times New Roman" w:hAnsi="Times New Roman"/>
          <w:sz w:val="24"/>
          <w:szCs w:val="24"/>
        </w:rPr>
      </w:pPr>
      <w:r w:rsidRPr="005A46FC">
        <w:rPr>
          <w:rFonts w:ascii="Times New Roman" w:hAnsi="Times New Roman"/>
          <w:sz w:val="24"/>
          <w:szCs w:val="24"/>
        </w:rPr>
        <w:t>У женщин чаще встречались артериальная гипертензия (включая гипертензию 3 или 4 степени), протеинурия и зудящая папулезная сыпь, в то время как у мужчин чаще наблюдались снижение фракции выброса, перфорация желудочно-кишечного тракта и образование свищей.</w:t>
      </w:r>
    </w:p>
    <w:p w14:paraId="23AC81FB" w14:textId="77777777" w:rsidR="003B2474" w:rsidRPr="005A46FC" w:rsidRDefault="003B2474" w:rsidP="003B2474">
      <w:pPr>
        <w:spacing w:after="0" w:line="240" w:lineRule="auto"/>
        <w:jc w:val="both"/>
        <w:rPr>
          <w:rFonts w:ascii="Times New Roman" w:hAnsi="Times New Roman"/>
          <w:i/>
          <w:iCs/>
          <w:sz w:val="24"/>
          <w:szCs w:val="24"/>
        </w:rPr>
      </w:pPr>
      <w:r w:rsidRPr="005A46FC">
        <w:rPr>
          <w:rFonts w:ascii="Times New Roman" w:hAnsi="Times New Roman"/>
          <w:i/>
          <w:iCs/>
          <w:sz w:val="24"/>
          <w:szCs w:val="24"/>
        </w:rPr>
        <w:t>ГЦ</w:t>
      </w:r>
      <w:r w:rsidR="00D77D54" w:rsidRPr="005A46FC">
        <w:rPr>
          <w:rFonts w:ascii="Times New Roman" w:hAnsi="Times New Roman"/>
          <w:i/>
          <w:iCs/>
          <w:sz w:val="24"/>
          <w:szCs w:val="24"/>
        </w:rPr>
        <w:t>Р</w:t>
      </w:r>
    </w:p>
    <w:p w14:paraId="2C034EEE" w14:textId="77777777" w:rsidR="003B2474" w:rsidRPr="005A46FC" w:rsidRDefault="003B2474" w:rsidP="003B2474">
      <w:pPr>
        <w:spacing w:after="0" w:line="240" w:lineRule="auto"/>
        <w:jc w:val="both"/>
        <w:rPr>
          <w:rFonts w:ascii="Times New Roman" w:hAnsi="Times New Roman"/>
          <w:sz w:val="24"/>
          <w:szCs w:val="24"/>
        </w:rPr>
      </w:pPr>
      <w:r w:rsidRPr="005A46FC">
        <w:rPr>
          <w:rFonts w:ascii="Times New Roman" w:hAnsi="Times New Roman"/>
          <w:sz w:val="24"/>
          <w:szCs w:val="24"/>
        </w:rPr>
        <w:t>Женщины имели более высокую частоту артериальной гипертензии, усталости, удлинения интервала QT на ЭКГ и алопеции. У мужчин была более высокая частота (26,5%) дисфонии, чем у женщин (12,3%), сниженный вес и количество тромбоцитов. Случаи печеночной недостаточности наблюдались только у пациентов мужского пола.</w:t>
      </w:r>
    </w:p>
    <w:p w14:paraId="15F7C4A6" w14:textId="77777777" w:rsidR="00D77D54" w:rsidRPr="005A46FC" w:rsidRDefault="00D77D54" w:rsidP="00D77D5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Этническое происхождение</w:t>
      </w:r>
    </w:p>
    <w:p w14:paraId="5D3FD305" w14:textId="77777777" w:rsidR="00D77D54" w:rsidRPr="005A46FC" w:rsidRDefault="00D77D54" w:rsidP="00D77D5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748F41ED" w14:textId="77777777" w:rsidR="00D77D54" w:rsidRPr="005A46FC" w:rsidRDefault="00D77D54" w:rsidP="00D77D54">
      <w:pPr>
        <w:spacing w:after="0" w:line="240" w:lineRule="auto"/>
        <w:jc w:val="both"/>
        <w:rPr>
          <w:rFonts w:ascii="Times New Roman" w:hAnsi="Times New Roman"/>
          <w:sz w:val="24"/>
          <w:szCs w:val="24"/>
        </w:rPr>
      </w:pPr>
      <w:r w:rsidRPr="005A46FC">
        <w:rPr>
          <w:rFonts w:ascii="Times New Roman" w:hAnsi="Times New Roman"/>
          <w:sz w:val="24"/>
          <w:szCs w:val="24"/>
        </w:rPr>
        <w:t>У пациентов азиатского происхождения (разница ≥ 10%) частота периферических отеков, гипертонии, утомляемости, зудящей папулезной сыпи, протеинурии, стоматита, тромбоцитопении и миалгии была выше, чем у пациентов европеоидной расы; в то время как у пациентов европеоидной расы чаще наблюдались диарея, снижение веса, тошнота, рвота, запор, астения, боль в животе, боль в конечностях и сухость во рту. Доза ленватиниба была снижена у большего числа пациентов азиатского происхождения по сравнению с пациентами европеоидной расы. Среднее время до первого снижения дозы и средняя суточная доза были ниже у пациентов азиатского происхождения, чем у пациентов европеоидной расы.</w:t>
      </w:r>
    </w:p>
    <w:p w14:paraId="36E11C81" w14:textId="77777777" w:rsidR="00D77D54" w:rsidRPr="005A46FC" w:rsidRDefault="00D77D54" w:rsidP="00D77D54">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750F60FE" w14:textId="77777777" w:rsidR="00D77D54" w:rsidRPr="005A46FC" w:rsidRDefault="00D77D54" w:rsidP="00D77D54">
      <w:pPr>
        <w:spacing w:after="0" w:line="240" w:lineRule="auto"/>
        <w:jc w:val="both"/>
        <w:rPr>
          <w:rFonts w:ascii="Times New Roman" w:hAnsi="Times New Roman"/>
          <w:sz w:val="24"/>
          <w:szCs w:val="24"/>
        </w:rPr>
      </w:pPr>
      <w:r w:rsidRPr="005A46FC">
        <w:rPr>
          <w:rFonts w:ascii="Times New Roman" w:hAnsi="Times New Roman"/>
          <w:sz w:val="24"/>
          <w:szCs w:val="24"/>
        </w:rPr>
        <w:t>У пациентов азиатского происхождения чаще, чем у пациентов европеоидной расы, наблюдалась протеинурия, снижение количества нейтрофилов, снижение количества тромбоцитов, снижение количества лейкоцитов и зудящая папулезная сыпь, в то время как у пациентов европеоидной расы чаще наблюдались утомляемость, печеночная энцефалопатия, острая почечная недостаточность, тревога, астения, тошнота, тромбоцитопения и рвота.</w:t>
      </w:r>
    </w:p>
    <w:p w14:paraId="6A08F232" w14:textId="77777777" w:rsidR="00D77D54" w:rsidRPr="005A46FC" w:rsidRDefault="00D77D54" w:rsidP="00D77D54">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7440672A" w14:textId="77777777" w:rsidR="00D77D54" w:rsidRPr="005A46FC" w:rsidRDefault="00D77D54" w:rsidP="00D77D54">
      <w:pPr>
        <w:spacing w:after="0" w:line="240" w:lineRule="auto"/>
        <w:jc w:val="both"/>
        <w:rPr>
          <w:rFonts w:ascii="Times New Roman" w:hAnsi="Times New Roman"/>
          <w:sz w:val="24"/>
          <w:szCs w:val="24"/>
        </w:rPr>
      </w:pPr>
      <w:r w:rsidRPr="005A46FC">
        <w:rPr>
          <w:rFonts w:ascii="Times New Roman" w:hAnsi="Times New Roman"/>
          <w:sz w:val="24"/>
          <w:szCs w:val="24"/>
        </w:rPr>
        <w:t xml:space="preserve">У представителей азиатской расы была более высокая (≥10% разница) частота анемии, недомогания, снижения количества нейтрофилов, стоматита, снижения количества тромбоцитов, протеинурии и зудящая папулезная сыпь, чем у пациентов европеоидной </w:t>
      </w:r>
      <w:r w:rsidRPr="005A46FC">
        <w:rPr>
          <w:rFonts w:ascii="Times New Roman" w:hAnsi="Times New Roman"/>
          <w:sz w:val="24"/>
          <w:szCs w:val="24"/>
        </w:rPr>
        <w:lastRenderedPageBreak/>
        <w:t>расы, в то время как у пациентов европеоидной расы была более высокая частота воспаления слизистой оболочки, болей в животе, диареи, мочеиспускания. инфекция тракта, снижение веса, гипомагниемия, головокружение, астения и утомляемость.</w:t>
      </w:r>
    </w:p>
    <w:p w14:paraId="65C2B1E3" w14:textId="77777777" w:rsidR="00D77D54" w:rsidRPr="005A46FC" w:rsidRDefault="00D77D54" w:rsidP="00D77D5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Исходная артериальная гипертензия</w:t>
      </w:r>
    </w:p>
    <w:p w14:paraId="792F4693" w14:textId="77777777" w:rsidR="00D77D54" w:rsidRPr="005A46FC" w:rsidRDefault="00D77D54" w:rsidP="00D77D5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25B371EF" w14:textId="77777777" w:rsidR="00D77D54" w:rsidRPr="005A46FC" w:rsidRDefault="00D77D54" w:rsidP="00D77D54">
      <w:pPr>
        <w:spacing w:after="0" w:line="240" w:lineRule="auto"/>
        <w:jc w:val="both"/>
        <w:rPr>
          <w:rFonts w:ascii="Times New Roman" w:hAnsi="Times New Roman"/>
          <w:sz w:val="24"/>
          <w:szCs w:val="24"/>
        </w:rPr>
      </w:pPr>
      <w:r w:rsidRPr="005A46FC">
        <w:rPr>
          <w:rFonts w:ascii="Times New Roman" w:hAnsi="Times New Roman"/>
          <w:sz w:val="24"/>
          <w:szCs w:val="24"/>
        </w:rPr>
        <w:t>Пациенты с исходной артериальной гипертензией чаще имели гипертензию 3 или 4 степени, протеинурию, диарею и обезвоживание, а также более серьезные случаи обезвоживания, гипотонии, тромбоэмболии легочной артерии, злокачественного плеврального выпота, мерцательной аритмии и желудочно-кишечных симптомов (боль в животе, диарея, рвота).</w:t>
      </w:r>
    </w:p>
    <w:p w14:paraId="7026B377" w14:textId="77777777" w:rsidR="00D77D54" w:rsidRPr="005A46FC" w:rsidRDefault="00D77D54" w:rsidP="00D77D5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Печеночная недостаточность</w:t>
      </w:r>
    </w:p>
    <w:p w14:paraId="17BFCDAD" w14:textId="77777777" w:rsidR="00D77D54" w:rsidRPr="005A46FC" w:rsidRDefault="00B75328" w:rsidP="00D77D5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344219A0" w14:textId="77777777" w:rsidR="00D77D54" w:rsidRPr="005A46FC" w:rsidRDefault="00D77D54" w:rsidP="00D77D54">
      <w:pPr>
        <w:spacing w:after="0" w:line="240" w:lineRule="auto"/>
        <w:jc w:val="both"/>
        <w:rPr>
          <w:rFonts w:ascii="Times New Roman" w:hAnsi="Times New Roman"/>
          <w:sz w:val="24"/>
          <w:szCs w:val="24"/>
        </w:rPr>
      </w:pPr>
      <w:r w:rsidRPr="005A46FC">
        <w:rPr>
          <w:rFonts w:ascii="Times New Roman" w:hAnsi="Times New Roman"/>
          <w:sz w:val="24"/>
          <w:szCs w:val="24"/>
        </w:rPr>
        <w:t xml:space="preserve">Пациенты с исходной печеночной недостаточностью имели более высокую частоту артериальной гипертензии и </w:t>
      </w:r>
      <w:r w:rsidR="00B75328" w:rsidRPr="005A46FC">
        <w:rPr>
          <w:rFonts w:ascii="Times New Roman" w:hAnsi="Times New Roman"/>
          <w:sz w:val="24"/>
          <w:szCs w:val="24"/>
        </w:rPr>
        <w:t>зудящей папулезной сыпи</w:t>
      </w:r>
      <w:r w:rsidRPr="005A46FC">
        <w:rPr>
          <w:rFonts w:ascii="Times New Roman" w:hAnsi="Times New Roman"/>
          <w:sz w:val="24"/>
          <w:szCs w:val="24"/>
        </w:rPr>
        <w:t>, а также более высокую частоту артериальной гипертензии 3 или 4 степени, астении, утомляемости и гипокальциемии по сравнению с пациентами с нормальной функцией печени.</w:t>
      </w:r>
    </w:p>
    <w:p w14:paraId="66DDD64E" w14:textId="77777777" w:rsidR="00D77D54" w:rsidRPr="005A46FC" w:rsidRDefault="00D77D54" w:rsidP="00D77D54">
      <w:pPr>
        <w:spacing w:after="0" w:line="240" w:lineRule="auto"/>
        <w:jc w:val="both"/>
        <w:rPr>
          <w:rFonts w:ascii="Times New Roman" w:hAnsi="Times New Roman"/>
          <w:i/>
          <w:iCs/>
          <w:sz w:val="24"/>
          <w:szCs w:val="24"/>
        </w:rPr>
      </w:pPr>
      <w:r w:rsidRPr="005A46FC">
        <w:rPr>
          <w:rFonts w:ascii="Times New Roman" w:hAnsi="Times New Roman"/>
          <w:i/>
          <w:iCs/>
          <w:sz w:val="24"/>
          <w:szCs w:val="24"/>
        </w:rPr>
        <w:t>ГЦ</w:t>
      </w:r>
      <w:r w:rsidR="00B75328" w:rsidRPr="005A46FC">
        <w:rPr>
          <w:rFonts w:ascii="Times New Roman" w:hAnsi="Times New Roman"/>
          <w:i/>
          <w:iCs/>
          <w:sz w:val="24"/>
          <w:szCs w:val="24"/>
        </w:rPr>
        <w:t>Р</w:t>
      </w:r>
    </w:p>
    <w:p w14:paraId="67735D9A" w14:textId="77777777" w:rsidR="00D77D54" w:rsidRPr="005A46FC" w:rsidRDefault="00D77D54" w:rsidP="00D77D54">
      <w:pPr>
        <w:spacing w:after="0" w:line="240" w:lineRule="auto"/>
        <w:jc w:val="both"/>
        <w:rPr>
          <w:rFonts w:ascii="Times New Roman" w:hAnsi="Times New Roman"/>
          <w:sz w:val="24"/>
          <w:szCs w:val="24"/>
        </w:rPr>
      </w:pPr>
      <w:r w:rsidRPr="005A46FC">
        <w:rPr>
          <w:rFonts w:ascii="Times New Roman" w:hAnsi="Times New Roman"/>
          <w:sz w:val="24"/>
          <w:szCs w:val="24"/>
        </w:rPr>
        <w:t xml:space="preserve">У пациентов с исходным баллом </w:t>
      </w:r>
      <w:r w:rsidR="00B75328" w:rsidRPr="005A46FC">
        <w:rPr>
          <w:rFonts w:ascii="Times New Roman" w:hAnsi="Times New Roman"/>
          <w:sz w:val="24"/>
          <w:szCs w:val="24"/>
        </w:rPr>
        <w:t xml:space="preserve">6 </w:t>
      </w:r>
      <w:r w:rsidRPr="005A46FC">
        <w:rPr>
          <w:rFonts w:ascii="Times New Roman" w:hAnsi="Times New Roman"/>
          <w:sz w:val="24"/>
          <w:szCs w:val="24"/>
        </w:rPr>
        <w:t xml:space="preserve">по шкале Чайлд-Пью (около 20% пациентов в исследовании REFLECT) чаще наблюдались снижение аппетита, утомляемость, протеинурия, печеночная энцефалопатия и печеночная недостаточность по сравнению с пациентами с исходным баллом </w:t>
      </w:r>
      <w:r w:rsidR="00B75328" w:rsidRPr="005A46FC">
        <w:rPr>
          <w:rFonts w:ascii="Times New Roman" w:hAnsi="Times New Roman"/>
          <w:sz w:val="24"/>
          <w:szCs w:val="24"/>
        </w:rPr>
        <w:t xml:space="preserve">5 </w:t>
      </w:r>
      <w:r w:rsidRPr="005A46FC">
        <w:rPr>
          <w:rFonts w:ascii="Times New Roman" w:hAnsi="Times New Roman"/>
          <w:sz w:val="24"/>
          <w:szCs w:val="24"/>
        </w:rPr>
        <w:t>по шкале Чайлд-Пью. Случаи гепатотоксичности и геморрагии также чаще встречались у пациентов с 6 балл</w:t>
      </w:r>
      <w:r w:rsidR="00B75328" w:rsidRPr="005A46FC">
        <w:rPr>
          <w:rFonts w:ascii="Times New Roman" w:hAnsi="Times New Roman"/>
          <w:sz w:val="24"/>
          <w:szCs w:val="24"/>
        </w:rPr>
        <w:t>ами по Чайлд-Пью</w:t>
      </w:r>
      <w:r w:rsidRPr="005A46FC">
        <w:rPr>
          <w:rFonts w:ascii="Times New Roman" w:hAnsi="Times New Roman"/>
          <w:sz w:val="24"/>
          <w:szCs w:val="24"/>
        </w:rPr>
        <w:t xml:space="preserve"> по сравнению с пациентами с 5 балл</w:t>
      </w:r>
      <w:r w:rsidR="00B75328" w:rsidRPr="005A46FC">
        <w:rPr>
          <w:rFonts w:ascii="Times New Roman" w:hAnsi="Times New Roman"/>
          <w:sz w:val="24"/>
          <w:szCs w:val="24"/>
        </w:rPr>
        <w:t>ами по Чайлд-Пью</w:t>
      </w:r>
      <w:r w:rsidRPr="005A46FC">
        <w:rPr>
          <w:rFonts w:ascii="Times New Roman" w:hAnsi="Times New Roman"/>
          <w:sz w:val="24"/>
          <w:szCs w:val="24"/>
        </w:rPr>
        <w:t>.</w:t>
      </w:r>
    </w:p>
    <w:p w14:paraId="4FDAD308" w14:textId="77777777" w:rsidR="00B75328" w:rsidRPr="005A46FC" w:rsidRDefault="00B75328" w:rsidP="00B75328">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Почечная недостаточность</w:t>
      </w:r>
    </w:p>
    <w:p w14:paraId="18DEBDF0" w14:textId="77777777" w:rsidR="00B75328" w:rsidRPr="005A46FC" w:rsidRDefault="00B75328" w:rsidP="00B75328">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34296679" w14:textId="77777777" w:rsidR="00B75328" w:rsidRPr="005A46FC" w:rsidRDefault="00B75328" w:rsidP="00B75328">
      <w:pPr>
        <w:spacing w:after="0" w:line="240" w:lineRule="auto"/>
        <w:jc w:val="both"/>
        <w:rPr>
          <w:rFonts w:ascii="Times New Roman" w:hAnsi="Times New Roman"/>
          <w:sz w:val="24"/>
          <w:szCs w:val="24"/>
        </w:rPr>
      </w:pPr>
      <w:r w:rsidRPr="005A46FC">
        <w:rPr>
          <w:rFonts w:ascii="Times New Roman" w:hAnsi="Times New Roman"/>
          <w:sz w:val="24"/>
          <w:szCs w:val="24"/>
        </w:rPr>
        <w:t>У пациентов с исходной почечной недостаточностью чаще наблюдались артериальная гипертензия 3 или 4 степени, протеинурия, утомляемость, стоматит, периферические отеки, тромбоцитопения, обезвоживание, удлинение интервала QT, гипотиреоз, гипонатриемия, повышение уровня тиреотропного гормона в крови, пневмония по сравнению с пациентами с нормальной функцией почек. Эти пациенты также имели более высокую частоту почечных реакций и тенденцию к более высокой частоте печеночных реакций.</w:t>
      </w:r>
    </w:p>
    <w:p w14:paraId="334CF1F8" w14:textId="77777777" w:rsidR="00B75328" w:rsidRPr="005A46FC" w:rsidRDefault="00B75328" w:rsidP="00B75328">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29EB91E9" w14:textId="77777777" w:rsidR="00B75328" w:rsidRPr="005A46FC" w:rsidRDefault="00B75328" w:rsidP="00B75328">
      <w:pPr>
        <w:spacing w:after="0" w:line="240" w:lineRule="auto"/>
        <w:jc w:val="both"/>
        <w:rPr>
          <w:rFonts w:ascii="Times New Roman" w:hAnsi="Times New Roman"/>
          <w:sz w:val="24"/>
          <w:szCs w:val="24"/>
        </w:rPr>
      </w:pPr>
      <w:r w:rsidRPr="005A46FC">
        <w:rPr>
          <w:rFonts w:ascii="Times New Roman" w:hAnsi="Times New Roman"/>
          <w:sz w:val="24"/>
          <w:szCs w:val="24"/>
        </w:rPr>
        <w:t>У пациентов с исходной почечной недостаточностью чаще наблюдались утомляемость, гипотиреоз, обезвоживание, диарея, снижение аппетита, протеинурия и печеночная энцефалопатия. У этих пациентов также была более высокая частота почечных реакций и артериальных тромбоэмболических осложнений.</w:t>
      </w:r>
    </w:p>
    <w:p w14:paraId="4D4950D0" w14:textId="77777777" w:rsidR="007434DB" w:rsidRPr="005A46FC" w:rsidRDefault="007434DB" w:rsidP="007434DB">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Пациенты с массой тела &lt;60 кг</w:t>
      </w:r>
    </w:p>
    <w:p w14:paraId="10AE2C1C" w14:textId="77777777" w:rsidR="007434DB" w:rsidRPr="005A46FC" w:rsidRDefault="007434DB" w:rsidP="007434DB">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04DEDAE8" w14:textId="77777777" w:rsidR="009C1431" w:rsidRPr="005A46FC" w:rsidRDefault="007434DB" w:rsidP="007434DB">
      <w:pPr>
        <w:spacing w:after="0" w:line="240" w:lineRule="auto"/>
        <w:jc w:val="both"/>
        <w:rPr>
          <w:rFonts w:ascii="Times New Roman" w:hAnsi="Times New Roman"/>
          <w:sz w:val="24"/>
          <w:szCs w:val="24"/>
        </w:rPr>
      </w:pPr>
      <w:r w:rsidRPr="005A46FC">
        <w:rPr>
          <w:rFonts w:ascii="Times New Roman" w:hAnsi="Times New Roman"/>
          <w:sz w:val="24"/>
          <w:szCs w:val="24"/>
        </w:rPr>
        <w:t xml:space="preserve">Пациенты с низкой массой тела (&lt;60 кг) имели более высокую частоту </w:t>
      </w:r>
      <w:r w:rsidR="002C4CA4" w:rsidRPr="005A46FC">
        <w:rPr>
          <w:rFonts w:ascii="Times New Roman" w:hAnsi="Times New Roman"/>
          <w:sz w:val="24"/>
          <w:szCs w:val="24"/>
        </w:rPr>
        <w:t>зудящей папулезной сыпи</w:t>
      </w:r>
      <w:r w:rsidRPr="005A46FC">
        <w:rPr>
          <w:rFonts w:ascii="Times New Roman" w:hAnsi="Times New Roman"/>
          <w:sz w:val="24"/>
          <w:szCs w:val="24"/>
        </w:rPr>
        <w:t>, протеинурии, гипокальциемии 3 или 4 степени и гипонатриемии, а также тенденцию к более высокой частоте снижения аппетита 3 или 4 степени.</w:t>
      </w:r>
    </w:p>
    <w:p w14:paraId="7480BA9D" w14:textId="77777777" w:rsidR="00B73FDA" w:rsidRPr="005A46FC" w:rsidRDefault="00B73FDA" w:rsidP="00E47BE8">
      <w:pPr>
        <w:spacing w:after="0" w:line="240" w:lineRule="auto"/>
        <w:jc w:val="both"/>
        <w:rPr>
          <w:rFonts w:ascii="Times New Roman" w:hAnsi="Times New Roman"/>
          <w:sz w:val="24"/>
          <w:szCs w:val="24"/>
        </w:rPr>
      </w:pPr>
    </w:p>
    <w:p w14:paraId="09840C0E" w14:textId="77777777" w:rsidR="00814DFC" w:rsidRPr="005A46FC" w:rsidRDefault="00814DFC" w:rsidP="0078568D">
      <w:pPr>
        <w:spacing w:after="0" w:line="240" w:lineRule="auto"/>
        <w:jc w:val="both"/>
        <w:rPr>
          <w:rFonts w:ascii="Times New Roman" w:hAnsi="Times New Roman"/>
          <w:b/>
          <w:sz w:val="24"/>
          <w:szCs w:val="24"/>
        </w:rPr>
      </w:pPr>
      <w:r w:rsidRPr="005A46FC">
        <w:rPr>
          <w:rFonts w:ascii="Times New Roman" w:hAnsi="Times New Roman"/>
          <w:b/>
          <w:sz w:val="24"/>
          <w:szCs w:val="24"/>
        </w:rPr>
        <w:t xml:space="preserve">Сообщение о подозреваемых нежелательных реакциях </w:t>
      </w:r>
    </w:p>
    <w:p w14:paraId="29CF21AC" w14:textId="77777777" w:rsidR="004528E1" w:rsidRPr="005A46FC" w:rsidRDefault="00814DFC" w:rsidP="0078568D">
      <w:pPr>
        <w:spacing w:after="0" w:line="240" w:lineRule="auto"/>
        <w:jc w:val="both"/>
        <w:rPr>
          <w:rFonts w:ascii="Times New Roman" w:hAnsi="Times New Roman"/>
          <w:sz w:val="24"/>
          <w:szCs w:val="24"/>
        </w:rPr>
      </w:pPr>
      <w:r w:rsidRPr="005A46FC">
        <w:rPr>
          <w:rFonts w:ascii="Times New Roman" w:hAnsi="Times New Roman"/>
          <w:sz w:val="24"/>
          <w:szCs w:val="24"/>
        </w:rPr>
        <w:t xml:space="preserve">Важно сообщать о подозреваемых нежелательных реакциях после регистрации </w:t>
      </w:r>
      <w:r w:rsidR="00F6012B" w:rsidRPr="005A46FC">
        <w:rPr>
          <w:rFonts w:ascii="Times New Roman" w:hAnsi="Times New Roman"/>
          <w:sz w:val="24"/>
          <w:szCs w:val="24"/>
        </w:rPr>
        <w:t>ЛП</w:t>
      </w:r>
      <w:r w:rsidRPr="005A46FC">
        <w:rPr>
          <w:rFonts w:ascii="Times New Roman" w:hAnsi="Times New Roman"/>
          <w:sz w:val="24"/>
          <w:szCs w:val="24"/>
        </w:rPr>
        <w:t xml:space="preserve"> с целью обеспечения непрерывного мониторинга соотношения «польза – риск» </w:t>
      </w:r>
      <w:r w:rsidR="00125232" w:rsidRPr="005A46FC">
        <w:rPr>
          <w:rFonts w:ascii="Times New Roman" w:hAnsi="Times New Roman"/>
          <w:sz w:val="24"/>
          <w:szCs w:val="24"/>
        </w:rPr>
        <w:t>ЛП</w:t>
      </w:r>
      <w:r w:rsidRPr="005A46FC">
        <w:rPr>
          <w:rFonts w:ascii="Times New Roman" w:hAnsi="Times New Roman"/>
          <w:sz w:val="24"/>
          <w:szCs w:val="24"/>
        </w:rPr>
        <w:t xml:space="preserve">. Медицинским работникам рекомендуется сообщать о любых подозреваемых нежелательных реакциях </w:t>
      </w:r>
      <w:r w:rsidR="00F6012B" w:rsidRPr="005A46FC">
        <w:rPr>
          <w:rFonts w:ascii="Times New Roman" w:hAnsi="Times New Roman"/>
          <w:sz w:val="24"/>
          <w:szCs w:val="24"/>
        </w:rPr>
        <w:t>ЛП</w:t>
      </w:r>
      <w:r w:rsidRPr="005A46FC">
        <w:rPr>
          <w:rFonts w:ascii="Times New Roman" w:hAnsi="Times New Roman"/>
          <w:sz w:val="24"/>
          <w:szCs w:val="24"/>
        </w:rPr>
        <w:t xml:space="preserve"> через национальную систему сообщения о нежелательных реакциях РК.</w:t>
      </w:r>
      <w:r w:rsidR="004528E1" w:rsidRPr="005A46FC">
        <w:rPr>
          <w:rFonts w:ascii="Times New Roman" w:hAnsi="Times New Roman"/>
          <w:sz w:val="24"/>
          <w:szCs w:val="24"/>
        </w:rPr>
        <w:t xml:space="preserve"> </w:t>
      </w:r>
    </w:p>
    <w:p w14:paraId="0A4B79E3" w14:textId="77777777" w:rsidR="004528E1" w:rsidRPr="005A46FC" w:rsidRDefault="004528E1" w:rsidP="0078568D">
      <w:pPr>
        <w:spacing w:after="0" w:line="240" w:lineRule="auto"/>
        <w:jc w:val="both"/>
        <w:rPr>
          <w:rFonts w:ascii="Times New Roman" w:hAnsi="Times New Roman"/>
          <w:sz w:val="24"/>
          <w:szCs w:val="24"/>
        </w:rPr>
      </w:pPr>
      <w:r w:rsidRPr="005A46FC">
        <w:rPr>
          <w:rFonts w:ascii="Times New Roman" w:hAnsi="Times New Roman"/>
          <w:sz w:val="24"/>
          <w:szCs w:val="24"/>
        </w:rPr>
        <w:t>РГП на ПХВ «Национальный Центр экспертизы лекарственных средств и медицинских изделий» Комитет</w:t>
      </w:r>
      <w:r w:rsidR="00881BDD" w:rsidRPr="005A46FC">
        <w:rPr>
          <w:rFonts w:ascii="Times New Roman" w:hAnsi="Times New Roman"/>
          <w:sz w:val="24"/>
          <w:szCs w:val="24"/>
        </w:rPr>
        <w:t xml:space="preserve">а медицинского и фармацевтического контроля  </w:t>
      </w:r>
      <w:r w:rsidRPr="005A46FC">
        <w:rPr>
          <w:rFonts w:ascii="Times New Roman" w:hAnsi="Times New Roman"/>
          <w:sz w:val="24"/>
          <w:szCs w:val="24"/>
        </w:rPr>
        <w:t>Министерства здравоохранения Республики Казахстан</w:t>
      </w:r>
    </w:p>
    <w:p w14:paraId="0C8FA800" w14:textId="77777777" w:rsidR="00814DFC" w:rsidRPr="005A46FC" w:rsidRDefault="006063F8" w:rsidP="005B7F9D">
      <w:pPr>
        <w:tabs>
          <w:tab w:val="left" w:pos="3420"/>
        </w:tabs>
        <w:spacing w:after="0" w:line="240" w:lineRule="auto"/>
        <w:jc w:val="both"/>
        <w:rPr>
          <w:rFonts w:ascii="Times New Roman" w:hAnsi="Times New Roman"/>
          <w:sz w:val="24"/>
          <w:szCs w:val="24"/>
        </w:rPr>
      </w:pPr>
      <w:hyperlink r:id="rId8" w:history="1">
        <w:r w:rsidR="004528E1" w:rsidRPr="005A46FC">
          <w:rPr>
            <w:rStyle w:val="ae"/>
            <w:rFonts w:ascii="Times New Roman" w:hAnsi="Times New Roman"/>
            <w:sz w:val="24"/>
            <w:szCs w:val="24"/>
            <w:lang w:val="en-US"/>
          </w:rPr>
          <w:t>http</w:t>
        </w:r>
        <w:r w:rsidR="004528E1" w:rsidRPr="005A46FC">
          <w:rPr>
            <w:rStyle w:val="ae"/>
            <w:rFonts w:ascii="Times New Roman" w:hAnsi="Times New Roman"/>
            <w:sz w:val="24"/>
            <w:szCs w:val="24"/>
          </w:rPr>
          <w:t>://</w:t>
        </w:r>
        <w:r w:rsidR="004528E1" w:rsidRPr="005A46FC">
          <w:rPr>
            <w:rStyle w:val="ae"/>
            <w:rFonts w:ascii="Times New Roman" w:hAnsi="Times New Roman"/>
            <w:sz w:val="24"/>
            <w:szCs w:val="24"/>
            <w:lang w:val="en-US"/>
          </w:rPr>
          <w:t>www</w:t>
        </w:r>
        <w:r w:rsidR="004528E1" w:rsidRPr="005A46FC">
          <w:rPr>
            <w:rStyle w:val="ae"/>
            <w:rFonts w:ascii="Times New Roman" w:hAnsi="Times New Roman"/>
            <w:sz w:val="24"/>
            <w:szCs w:val="24"/>
          </w:rPr>
          <w:t>.</w:t>
        </w:r>
        <w:r w:rsidR="004528E1" w:rsidRPr="005A46FC">
          <w:rPr>
            <w:rStyle w:val="ae"/>
            <w:rFonts w:ascii="Times New Roman" w:hAnsi="Times New Roman"/>
            <w:sz w:val="24"/>
            <w:szCs w:val="24"/>
            <w:lang w:val="en-US"/>
          </w:rPr>
          <w:t>ndda</w:t>
        </w:r>
        <w:r w:rsidR="004528E1" w:rsidRPr="005A46FC">
          <w:rPr>
            <w:rStyle w:val="ae"/>
            <w:rFonts w:ascii="Times New Roman" w:hAnsi="Times New Roman"/>
            <w:sz w:val="24"/>
            <w:szCs w:val="24"/>
          </w:rPr>
          <w:t>.</w:t>
        </w:r>
        <w:r w:rsidR="004528E1" w:rsidRPr="005A46FC">
          <w:rPr>
            <w:rStyle w:val="ae"/>
            <w:rFonts w:ascii="Times New Roman" w:hAnsi="Times New Roman"/>
            <w:sz w:val="24"/>
            <w:szCs w:val="24"/>
            <w:lang w:val="en-US"/>
          </w:rPr>
          <w:t>kz</w:t>
        </w:r>
      </w:hyperlink>
      <w:r w:rsidR="005B7F9D" w:rsidRPr="005A46FC">
        <w:rPr>
          <w:rFonts w:ascii="Times New Roman" w:hAnsi="Times New Roman"/>
          <w:sz w:val="24"/>
          <w:szCs w:val="24"/>
        </w:rPr>
        <w:tab/>
      </w:r>
    </w:p>
    <w:p w14:paraId="7E2CB3C1" w14:textId="77777777" w:rsidR="00515826" w:rsidRPr="005A46FC" w:rsidRDefault="00515826" w:rsidP="0078568D">
      <w:pPr>
        <w:pStyle w:val="ab"/>
        <w:jc w:val="both"/>
        <w:rPr>
          <w:rFonts w:ascii="Times New Roman" w:eastAsia="Times New Roman" w:hAnsi="Times New Roman"/>
          <w:sz w:val="24"/>
          <w:szCs w:val="24"/>
          <w:lang w:eastAsia="ru-RU"/>
        </w:rPr>
      </w:pPr>
    </w:p>
    <w:p w14:paraId="13F8F651" w14:textId="77777777" w:rsidR="00123DB5" w:rsidRPr="005A46FC" w:rsidRDefault="00123DB5" w:rsidP="0078568D">
      <w:pPr>
        <w:spacing w:after="0" w:line="240" w:lineRule="auto"/>
        <w:jc w:val="both"/>
        <w:rPr>
          <w:rFonts w:ascii="Times New Roman" w:hAnsi="Times New Roman"/>
          <w:color w:val="000000"/>
          <w:sz w:val="24"/>
          <w:szCs w:val="24"/>
        </w:rPr>
      </w:pPr>
      <w:r w:rsidRPr="005A46FC">
        <w:rPr>
          <w:rFonts w:ascii="Times New Roman" w:eastAsia="Times New Roman" w:hAnsi="Times New Roman"/>
          <w:b/>
          <w:sz w:val="24"/>
          <w:szCs w:val="24"/>
          <w:lang w:eastAsia="ru-RU"/>
        </w:rPr>
        <w:t>4.9 Передозировка</w:t>
      </w:r>
    </w:p>
    <w:p w14:paraId="510E3700" w14:textId="77777777" w:rsidR="00881BDD" w:rsidRPr="005A46FC" w:rsidRDefault="009C1431" w:rsidP="009C1431">
      <w:pPr>
        <w:autoSpaceDE w:val="0"/>
        <w:autoSpaceDN w:val="0"/>
        <w:adjustRightInd w:val="0"/>
        <w:spacing w:after="0" w:line="240" w:lineRule="auto"/>
        <w:jc w:val="both"/>
        <w:rPr>
          <w:rFonts w:ascii="Times New Roman" w:hAnsi="Times New Roman"/>
          <w:color w:val="000000"/>
          <w:sz w:val="24"/>
          <w:szCs w:val="24"/>
        </w:rPr>
      </w:pPr>
      <w:r w:rsidRPr="005A46FC">
        <w:rPr>
          <w:rFonts w:ascii="Times New Roman" w:hAnsi="Times New Roman"/>
          <w:color w:val="000000"/>
          <w:sz w:val="24"/>
          <w:szCs w:val="24"/>
        </w:rPr>
        <w:t>Самые высокие дозы ленватиниба, изученные клинически, составляли 32 мг и 40 мг в сутки. В клинических испытаниях имели место случайные ошибки при лечении, приводившие к разовым дозам от 40 до 48 мг. Наиболее часто наблюдаемыми побочными реакциями при применении этих доз были артериальная гипертензия, тошнота, диарея, утомляемость, стоматит, протеинурия, головная боль и ухудшение зудящей папулезной сыпи. Также были сообщения о передозировке ленватинибом при однократном введении 6-10-кратной рекомендуемой суточной дозы. Эти случаи были связаны с побочными реакциями, соответствующими известному профилю безопасности ленватиниба (например, почечная и сердечная недостаточность), или не имели побочных реакций.</w:t>
      </w:r>
    </w:p>
    <w:p w14:paraId="2960CFF8" w14:textId="77777777" w:rsidR="009C1431" w:rsidRPr="005A46FC" w:rsidRDefault="009C1431" w:rsidP="0078568D">
      <w:pPr>
        <w:autoSpaceDE w:val="0"/>
        <w:autoSpaceDN w:val="0"/>
        <w:adjustRightInd w:val="0"/>
        <w:spacing w:after="0" w:line="240" w:lineRule="auto"/>
        <w:rPr>
          <w:rFonts w:ascii="Times New Roman" w:hAnsi="Times New Roman"/>
          <w:b/>
          <w:sz w:val="24"/>
          <w:szCs w:val="24"/>
          <w:lang w:eastAsia="ru-RU"/>
        </w:rPr>
      </w:pPr>
    </w:p>
    <w:p w14:paraId="02173630" w14:textId="77777777" w:rsidR="00C153F2" w:rsidRPr="005A46FC"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 xml:space="preserve">5. </w:t>
      </w:r>
      <w:r w:rsidRPr="005A46FC">
        <w:rPr>
          <w:rFonts w:ascii="Times New Roman" w:eastAsia="TimesNewRomanPSMT" w:hAnsi="Times New Roman"/>
          <w:b/>
          <w:sz w:val="24"/>
          <w:szCs w:val="24"/>
          <w:lang w:eastAsia="ru-RU"/>
        </w:rPr>
        <w:t>ФАРМАКОЛОГИЧЕСКИЕ СВОЙСТВА</w:t>
      </w:r>
    </w:p>
    <w:p w14:paraId="4F8681CA" w14:textId="77777777" w:rsidR="00C153F2" w:rsidRPr="005A46FC" w:rsidRDefault="00515826"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5.1</w:t>
      </w:r>
      <w:r w:rsidR="00C153F2" w:rsidRPr="005A46FC">
        <w:rPr>
          <w:rFonts w:ascii="Times New Roman" w:hAnsi="Times New Roman"/>
          <w:b/>
          <w:sz w:val="24"/>
          <w:szCs w:val="24"/>
          <w:lang w:eastAsia="ru-RU"/>
        </w:rPr>
        <w:t xml:space="preserve"> </w:t>
      </w:r>
      <w:r w:rsidR="00C153F2" w:rsidRPr="005A46FC">
        <w:rPr>
          <w:rFonts w:ascii="Times New Roman" w:eastAsia="TimesNewRomanPSMT" w:hAnsi="Times New Roman"/>
          <w:b/>
          <w:sz w:val="24"/>
          <w:szCs w:val="24"/>
          <w:lang w:eastAsia="ru-RU"/>
        </w:rPr>
        <w:t>Фармакодинамические свойства</w:t>
      </w:r>
    </w:p>
    <w:p w14:paraId="762DFE9E" w14:textId="77777777" w:rsidR="0092520D" w:rsidRPr="005A46FC" w:rsidRDefault="00C153F2" w:rsidP="0092520D">
      <w:pPr>
        <w:autoSpaceDE w:val="0"/>
        <w:autoSpaceDN w:val="0"/>
        <w:adjustRightInd w:val="0"/>
        <w:spacing w:after="0" w:line="240" w:lineRule="auto"/>
        <w:jc w:val="both"/>
        <w:rPr>
          <w:rFonts w:ascii="Times New Roman" w:eastAsia="TimesNewRomanPSMT" w:hAnsi="Times New Roman"/>
          <w:sz w:val="24"/>
          <w:szCs w:val="24"/>
          <w:lang w:eastAsia="ru-RU"/>
        </w:rPr>
      </w:pPr>
      <w:r w:rsidRPr="005A46FC">
        <w:rPr>
          <w:rFonts w:ascii="Times New Roman" w:eastAsia="TimesNewRomanPSMT" w:hAnsi="Times New Roman"/>
          <w:b/>
          <w:sz w:val="24"/>
          <w:szCs w:val="24"/>
          <w:lang w:eastAsia="ru-RU"/>
        </w:rPr>
        <w:t>Фармакотерапевтическая группа</w:t>
      </w:r>
      <w:r w:rsidRPr="005A46FC">
        <w:rPr>
          <w:rFonts w:ascii="Times New Roman" w:eastAsia="TimesNewRomanPSMT" w:hAnsi="Times New Roman"/>
          <w:sz w:val="24"/>
          <w:szCs w:val="24"/>
          <w:lang w:eastAsia="ru-RU"/>
        </w:rPr>
        <w:t xml:space="preserve">: </w:t>
      </w:r>
      <w:r w:rsidR="0092520D" w:rsidRPr="005A46FC">
        <w:rPr>
          <w:rFonts w:ascii="Times New Roman" w:eastAsia="TimesNewRomanPSMT" w:hAnsi="Times New Roman"/>
          <w:sz w:val="24"/>
          <w:szCs w:val="24"/>
          <w:lang w:eastAsia="ru-RU"/>
        </w:rPr>
        <w:t>Антинеопластические препараты. Протеинкиназа ингибиторы. Протеинкиназа ингибиторы другие. Ленватиниб.</w:t>
      </w:r>
    </w:p>
    <w:p w14:paraId="5D8DFB3E" w14:textId="77777777" w:rsidR="0092520D" w:rsidRPr="005A46FC" w:rsidRDefault="0092520D" w:rsidP="0092520D">
      <w:pPr>
        <w:autoSpaceDE w:val="0"/>
        <w:autoSpaceDN w:val="0"/>
        <w:adjustRightInd w:val="0"/>
        <w:spacing w:after="0" w:line="240" w:lineRule="auto"/>
        <w:jc w:val="both"/>
        <w:rPr>
          <w:rFonts w:ascii="Times New Roman" w:eastAsia="TimesNewRomanPSMT" w:hAnsi="Times New Roman"/>
          <w:sz w:val="24"/>
          <w:szCs w:val="24"/>
          <w:lang w:eastAsia="ru-RU"/>
        </w:rPr>
      </w:pPr>
      <w:r w:rsidRPr="005A46FC">
        <w:rPr>
          <w:rFonts w:ascii="Times New Roman" w:eastAsia="TimesNewRomanPSMT" w:hAnsi="Times New Roman"/>
          <w:sz w:val="24"/>
          <w:szCs w:val="24"/>
          <w:lang w:eastAsia="ru-RU"/>
        </w:rPr>
        <w:t xml:space="preserve">Код АТХ: L01EX08 </w:t>
      </w:r>
    </w:p>
    <w:p w14:paraId="2AEC5F81" w14:textId="77777777" w:rsidR="009C1431" w:rsidRPr="005A46FC" w:rsidRDefault="009C1431" w:rsidP="0092520D">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Ленватиниб является мультикиназным ингибитором, который проявлял в основном антиангиогенные свойства </w:t>
      </w:r>
      <w:r w:rsidRPr="005A46FC">
        <w:rPr>
          <w:rFonts w:ascii="Times New Roman" w:hAnsi="Times New Roman"/>
          <w:i/>
          <w:iCs/>
          <w:sz w:val="24"/>
          <w:szCs w:val="24"/>
          <w:lang w:eastAsia="ru-RU"/>
        </w:rPr>
        <w:t>in vitro</w:t>
      </w:r>
      <w:r w:rsidRPr="005A46FC">
        <w:rPr>
          <w:rFonts w:ascii="Times New Roman" w:hAnsi="Times New Roman"/>
          <w:sz w:val="24"/>
          <w:szCs w:val="24"/>
          <w:lang w:eastAsia="ru-RU"/>
        </w:rPr>
        <w:t xml:space="preserve"> и </w:t>
      </w:r>
      <w:r w:rsidRPr="005A46FC">
        <w:rPr>
          <w:rFonts w:ascii="Times New Roman" w:hAnsi="Times New Roman"/>
          <w:i/>
          <w:iCs/>
          <w:sz w:val="24"/>
          <w:szCs w:val="24"/>
          <w:lang w:eastAsia="ru-RU"/>
        </w:rPr>
        <w:t>in vivo</w:t>
      </w:r>
      <w:r w:rsidRPr="005A46FC">
        <w:rPr>
          <w:rFonts w:ascii="Times New Roman" w:hAnsi="Times New Roman"/>
          <w:sz w:val="24"/>
          <w:szCs w:val="24"/>
          <w:lang w:eastAsia="ru-RU"/>
        </w:rPr>
        <w:t xml:space="preserve">, а в моделях </w:t>
      </w:r>
      <w:r w:rsidRPr="005A46FC">
        <w:rPr>
          <w:rFonts w:ascii="Times New Roman" w:hAnsi="Times New Roman"/>
          <w:i/>
          <w:iCs/>
          <w:sz w:val="24"/>
          <w:szCs w:val="24"/>
          <w:lang w:eastAsia="ru-RU"/>
        </w:rPr>
        <w:t>in vitro</w:t>
      </w:r>
      <w:r w:rsidRPr="005A46FC">
        <w:rPr>
          <w:rFonts w:ascii="Times New Roman" w:hAnsi="Times New Roman"/>
          <w:sz w:val="24"/>
          <w:szCs w:val="24"/>
          <w:lang w:eastAsia="ru-RU"/>
        </w:rPr>
        <w:t xml:space="preserve"> также наблюдалось прямое ингибирование роста опухоли.</w:t>
      </w:r>
    </w:p>
    <w:p w14:paraId="49189382" w14:textId="77777777" w:rsidR="009C1431" w:rsidRPr="005A46FC" w:rsidRDefault="009C1431" w:rsidP="009C1431">
      <w:pPr>
        <w:autoSpaceDE w:val="0"/>
        <w:autoSpaceDN w:val="0"/>
        <w:adjustRightInd w:val="0"/>
        <w:spacing w:after="0" w:line="240" w:lineRule="auto"/>
        <w:jc w:val="both"/>
        <w:rPr>
          <w:rFonts w:ascii="Times New Roman" w:hAnsi="Times New Roman"/>
          <w:i/>
          <w:iCs/>
          <w:sz w:val="24"/>
          <w:szCs w:val="24"/>
          <w:lang w:eastAsia="ru-RU"/>
        </w:rPr>
      </w:pPr>
      <w:r w:rsidRPr="005A46FC">
        <w:rPr>
          <w:rFonts w:ascii="Times New Roman" w:hAnsi="Times New Roman"/>
          <w:i/>
          <w:iCs/>
          <w:sz w:val="24"/>
          <w:szCs w:val="24"/>
          <w:lang w:eastAsia="ru-RU"/>
        </w:rPr>
        <w:t>Механизм действия</w:t>
      </w:r>
    </w:p>
    <w:p w14:paraId="4EDFAC2E" w14:textId="77777777" w:rsidR="009C1431" w:rsidRPr="005A46FC" w:rsidRDefault="009C1431"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Ленватиниб является ингибитором рецепторной тирозинкиназы (RTK), который селективно ингибирует активность киназы рецепторов фактора роста эндотелия сосудов (VEGF) VEGFR1 (FLT1), VEGFR2 (KDR) и VEGFR3 (FLT4), в дополнение к другим проангиогенным и онкогенным RTK-связанным путям, включая рецепторы фактора роста фибробластов (FGF) FGFR1, 2, 3 и 4, рецептор тромбоцитарного фактора роста (PDGF) PDGFRα, KIT и RET.</w:t>
      </w:r>
    </w:p>
    <w:p w14:paraId="75DD4543" w14:textId="77777777" w:rsidR="009C1431" w:rsidRPr="005A46FC" w:rsidRDefault="009C1431"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Кроме того, ленватиниб обладал селективной прямой антипролиферативной активностью в гепатоцеллюлярных клеточных линиях, зависящей от активированной передачи сигналов FGFR, что связано с ингибированием передачи сигналов FGFR ленватинибом.</w:t>
      </w:r>
    </w:p>
    <w:p w14:paraId="44B71267" w14:textId="77777777" w:rsidR="009C1431" w:rsidRPr="005A46FC" w:rsidRDefault="009C1431"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В сингенных мышиных моделях опухолей ленватиниб снижал количество </w:t>
      </w:r>
      <w:r w:rsidR="005E5AC2" w:rsidRPr="005A46FC">
        <w:rPr>
          <w:rFonts w:ascii="Times New Roman" w:hAnsi="Times New Roman"/>
          <w:sz w:val="24"/>
          <w:szCs w:val="24"/>
          <w:lang w:eastAsia="ru-RU"/>
        </w:rPr>
        <w:t>связанных</w:t>
      </w:r>
      <w:r w:rsidRPr="005A46FC">
        <w:rPr>
          <w:rFonts w:ascii="Times New Roman" w:hAnsi="Times New Roman"/>
          <w:sz w:val="24"/>
          <w:szCs w:val="24"/>
          <w:lang w:eastAsia="ru-RU"/>
        </w:rPr>
        <w:t xml:space="preserve"> с опухолью макрофагов, повышал активность цитотоксических Т-клеток и продемонстрировал более высокую противоопухолевую активность в сочетании с моноклональным антителом к PD-1 по сравнению с любым лечением по отдельности.</w:t>
      </w:r>
    </w:p>
    <w:p w14:paraId="3E49C505" w14:textId="77777777" w:rsidR="005E5AC2" w:rsidRPr="005A46FC" w:rsidRDefault="009C1431"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Хотя непосредственное изучение ленватиниба не проводилось, </w:t>
      </w:r>
      <w:r w:rsidR="005E5AC2" w:rsidRPr="005A46FC">
        <w:rPr>
          <w:rFonts w:ascii="Times New Roman" w:hAnsi="Times New Roman"/>
          <w:sz w:val="24"/>
          <w:szCs w:val="24"/>
          <w:lang w:eastAsia="ru-RU"/>
        </w:rPr>
        <w:t xml:space="preserve">допускается, что </w:t>
      </w:r>
      <w:r w:rsidRPr="005A46FC">
        <w:rPr>
          <w:rFonts w:ascii="Times New Roman" w:hAnsi="Times New Roman"/>
          <w:sz w:val="24"/>
          <w:szCs w:val="24"/>
          <w:lang w:eastAsia="ru-RU"/>
        </w:rPr>
        <w:t xml:space="preserve">механизм действия (МОА) при артериальной гипертензии опосредуется ингибированием VEGFR2 в эндотелиальных клетках сосудов. Сходным образом, хотя это и не изучалось напрямую, </w:t>
      </w:r>
      <w:r w:rsidR="005E5AC2" w:rsidRPr="005A46FC">
        <w:rPr>
          <w:rFonts w:ascii="Times New Roman" w:hAnsi="Times New Roman"/>
          <w:sz w:val="24"/>
          <w:szCs w:val="24"/>
          <w:lang w:eastAsia="ru-RU"/>
        </w:rPr>
        <w:t>допускается</w:t>
      </w:r>
      <w:r w:rsidRPr="005A46FC">
        <w:rPr>
          <w:rFonts w:ascii="Times New Roman" w:hAnsi="Times New Roman"/>
          <w:sz w:val="24"/>
          <w:szCs w:val="24"/>
          <w:lang w:eastAsia="ru-RU"/>
        </w:rPr>
        <w:t>, что МОА для протеинурии опосредуется подавлением VEGFR1 и VEGFR2 в подоцитах клубочков.</w:t>
      </w:r>
    </w:p>
    <w:p w14:paraId="2F183539" w14:textId="77777777" w:rsidR="009C1431" w:rsidRPr="005A46FC" w:rsidRDefault="009C1431"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Механизм действия при гипотиреозе до конца не выяснен.</w:t>
      </w:r>
    </w:p>
    <w:p w14:paraId="4EBE8E78" w14:textId="77777777" w:rsidR="005E5AC2" w:rsidRPr="005A46FC" w:rsidRDefault="005E5AC2" w:rsidP="005E5AC2">
      <w:pPr>
        <w:autoSpaceDE w:val="0"/>
        <w:autoSpaceDN w:val="0"/>
        <w:adjustRightInd w:val="0"/>
        <w:spacing w:after="0" w:line="240" w:lineRule="auto"/>
        <w:jc w:val="both"/>
        <w:rPr>
          <w:rFonts w:ascii="Times New Roman" w:hAnsi="Times New Roman"/>
          <w:i/>
          <w:iCs/>
          <w:sz w:val="24"/>
          <w:szCs w:val="24"/>
          <w:u w:val="single"/>
          <w:lang w:eastAsia="ru-RU"/>
        </w:rPr>
      </w:pPr>
      <w:r w:rsidRPr="005A46FC">
        <w:rPr>
          <w:rFonts w:ascii="Times New Roman" w:hAnsi="Times New Roman"/>
          <w:i/>
          <w:iCs/>
          <w:sz w:val="24"/>
          <w:szCs w:val="24"/>
          <w:u w:val="single"/>
          <w:lang w:eastAsia="ru-RU"/>
        </w:rPr>
        <w:t>Клиническая эффективность</w:t>
      </w:r>
    </w:p>
    <w:p w14:paraId="7F6C655C" w14:textId="77777777" w:rsidR="005E5AC2" w:rsidRPr="005A46FC" w:rsidRDefault="005E5AC2" w:rsidP="005E5AC2">
      <w:pPr>
        <w:autoSpaceDE w:val="0"/>
        <w:autoSpaceDN w:val="0"/>
        <w:adjustRightInd w:val="0"/>
        <w:spacing w:after="0" w:line="240" w:lineRule="auto"/>
        <w:jc w:val="both"/>
        <w:rPr>
          <w:rFonts w:ascii="Times New Roman" w:hAnsi="Times New Roman"/>
          <w:i/>
          <w:iCs/>
          <w:sz w:val="24"/>
          <w:szCs w:val="24"/>
          <w:lang w:eastAsia="ru-RU"/>
        </w:rPr>
      </w:pPr>
      <w:r w:rsidRPr="005A46FC">
        <w:rPr>
          <w:rFonts w:ascii="Times New Roman" w:hAnsi="Times New Roman"/>
          <w:i/>
          <w:iCs/>
          <w:sz w:val="24"/>
          <w:szCs w:val="24"/>
          <w:lang w:eastAsia="ru-RU"/>
        </w:rPr>
        <w:t>Радиойодрезистентный дифференцированный рак щитовидной железы</w:t>
      </w:r>
    </w:p>
    <w:p w14:paraId="7C797D78" w14:textId="77777777" w:rsidR="005E5AC2" w:rsidRPr="005A46FC" w:rsidRDefault="005E5AC2" w:rsidP="005E5AC2">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Исследование SELECT представляло собой многоцентровое рандомизированное двойное слепое плацебо-контролируемое исследование, в котором приняли участие 392 пациента с резистентным к радиоактивному йоду дифференцированным раком щитовидной железы с независимыми централизованно проанализированными рентгенологическими признаками прогрессирования заболевания в течение 12 месяцев (окно +1 месяц) до регистрации. Рефрактерность к радиоактивному йоду определялась как одно или несколько поддающихся измерению поражений либо с недостатком </w:t>
      </w:r>
      <w:r w:rsidRPr="005A46FC">
        <w:rPr>
          <w:rFonts w:ascii="Times New Roman" w:hAnsi="Times New Roman"/>
          <w:sz w:val="24"/>
          <w:szCs w:val="24"/>
          <w:lang w:eastAsia="ru-RU"/>
        </w:rPr>
        <w:lastRenderedPageBreak/>
        <w:t>поглощения йода, либо с прогрессированием, несмотря на терапию радиоактивным йодом (RAI), либо с кумулятивной активностью RAI &gt;600 мКи или 22 ГБк после последней дозы не менее чем за 6 месяцев до начала исследования. Рандомизация была стратифицирована по географическому региону (Европа, Северная Америка и другие страны), предшествующей терапии, нацеленной на VEGF/VEGFR (пациенты могли получить 0 или 1 предшествующую терапию, направленную на VEGF/VEGFR), и возрасту (≤65 лет или &gt;65 лет). Основным критерием эффективности была выживаемость без прогрессирования (ВБП), определенная слепым независимым рентгенологическим обзором с использованием критериев оценки ответа при солидных опухолях (RECIST) 1.1. Вторичные показатели эффективности включали общую частоту ответов и общую выживаемость. Пациенты в группе плацебо могли выбрать лечение ленватинибом во время подтвержденного прогрессирования заболевания.</w:t>
      </w:r>
    </w:p>
    <w:p w14:paraId="5BCF58F5" w14:textId="77777777" w:rsidR="005E5AC2" w:rsidRPr="005A46FC" w:rsidRDefault="005E5AC2" w:rsidP="005E5AC2">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Подходящие пациенты с измеримым заболеванием в соответствии с RECIST 1.1 были рандомизированы 2:1 для получения ленватиниба в дозе 24 мг один раз в день (n=261) или плацебо (n=131). Исходные демографические характеристики и характеристики заболевания были хорошо сбалансированы для обеих групп лечения. Из 392 рандомизированных пациентов 76,3% ранее не получали терапии, нацеленной на VEGF/VEGFR, 49,0% были женщинами, 49,7% были европейцами, а средний возраст составлял 63 года. Гистологически у 66,1% был подтвержден диагноз папиллярного рака щитовидной железы, а у 33,9% был фолликулярный рак щитовидной железы, который включал 14,8% клеток Гюртле и 3,8% светлоклеточных клеток. Метастазы присутствовали у 99% больных: легкие у 89,3%, лимфатические узлы у 51,5%, кости у 38,8%, печень у 18,1%, плевра у 16,3%, головной мозг у 4,1%. У большинства пациентов статус работоспособности по шкале ECOG был равен 0; 42,1% имели статус 1; 3,9% имели статус выше 1. Средняя кумулятивная активность RAI, введенная до включения в исследование, составляла 350 мКи (12,95 ГБк).</w:t>
      </w:r>
    </w:p>
    <w:p w14:paraId="3C948C4A" w14:textId="77777777" w:rsidR="005E5AC2" w:rsidRPr="005A46FC" w:rsidRDefault="005E5AC2" w:rsidP="005E5AC2">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Статистически значимое увеличение ВБП было продемонстрировано у пациентов, получавших ленватиниб, по сравнению с пациентами, получавшими плацебо (p&lt;0,0001) (см. рисунок 1). Положительный эффект на ВБП наблюдался в подгруппах по возрасту (старше или младше 65 лет), полу, расе, гистологическому подтипу, географическому региону и тем, кто ранее получал 0 или 1 терапию, нацеленную на VEGF/VEGFR. После независимого обзора, подтверждающего прогрессирование заболевания, 109 (83,2%) пациентов, рандомизированных в группу плацебо, перешли на ленватиниб в открытом режиме на момент проведения первичного анализа эффективности.</w:t>
      </w:r>
    </w:p>
    <w:p w14:paraId="29D6D231" w14:textId="77777777" w:rsidR="005E5AC2" w:rsidRPr="005A46FC" w:rsidRDefault="005E5AC2" w:rsidP="005E5AC2">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Частота объективного ответа (полный ответ [ПО] плюс частичный ответ [ЧО]) согласно независимому рентгенологическому обзору была значительно (p&lt;0,0001) выше в группе, получавшей ленватиниб (64,8%), чем в группе, получавшей плацебо (1,5%). Четыре (1,5%) пациента, получавших ленватиниб, достигли полного ответа и 165 пациентов (63,2%) имели ЧО, в то время как ни один из пациентов, получавших плацебо, не имел полного ответа, а 2 (1,5%) пациента имели ЧО.</w:t>
      </w:r>
    </w:p>
    <w:p w14:paraId="314A7D70" w14:textId="77777777" w:rsidR="005E5AC2" w:rsidRPr="005A46FC" w:rsidRDefault="005E5AC2" w:rsidP="005E5AC2">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Среднее время до первого снижения дозы составило 2,8 месяцев. Среднее время объективного ответа составило 2,0 (95% ДИ: 1,9, 3,5) месяца; однако среди пациентов, у которых наблюдался полный или частичный ответ на ленватиниб, у 70,4% наблюдалось развитие ответа во время или в течение 30 дней после приема дозы 24 мг.</w:t>
      </w:r>
    </w:p>
    <w:p w14:paraId="11BB1126" w14:textId="77777777" w:rsidR="005E5AC2" w:rsidRPr="005A46FC" w:rsidRDefault="005E5AC2" w:rsidP="005E5AC2">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Анализ общей выживаемости был </w:t>
      </w:r>
      <w:r w:rsidR="00811031" w:rsidRPr="005A46FC">
        <w:rPr>
          <w:rFonts w:ascii="Times New Roman" w:hAnsi="Times New Roman"/>
          <w:sz w:val="24"/>
          <w:szCs w:val="24"/>
          <w:lang w:eastAsia="ru-RU"/>
        </w:rPr>
        <w:t>искажен</w:t>
      </w:r>
      <w:r w:rsidRPr="005A46FC">
        <w:rPr>
          <w:rFonts w:ascii="Times New Roman" w:hAnsi="Times New Roman"/>
          <w:sz w:val="24"/>
          <w:szCs w:val="24"/>
          <w:lang w:eastAsia="ru-RU"/>
        </w:rPr>
        <w:t xml:space="preserve"> тем фактом, что субъекты, получавшие плацебо, с подтвержденным прогрессированием заболевания имели возможность перейти на открытый прием ленватиниба. Не было статистически значимой разницы в общей выживаемости между группами лечения на момент первичного анализа эффективности (Соотношение рисков=0,73; 95% ДИ: 0,50, 1,07, p=0,1032). Медиана общей выживаемости (ОВ) не была достигнута ни в группе ленватиниба, ни в перекрестной группе плацебо.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5E5AC2" w:rsidRPr="005A46FC" w14:paraId="648D4AAB" w14:textId="77777777" w:rsidTr="003222B0">
        <w:tc>
          <w:tcPr>
            <w:tcW w:w="9287" w:type="dxa"/>
            <w:gridSpan w:val="3"/>
            <w:shd w:val="clear" w:color="auto" w:fill="auto"/>
          </w:tcPr>
          <w:p w14:paraId="508DA204" w14:textId="77777777" w:rsidR="005E5AC2" w:rsidRPr="005A46FC" w:rsidRDefault="005E5A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Таблица 7. Результаты эффективности у пациентов с ДРЩЖ</w:t>
            </w:r>
          </w:p>
        </w:tc>
      </w:tr>
      <w:tr w:rsidR="005E5AC2" w:rsidRPr="005A46FC" w14:paraId="648D3F2A" w14:textId="77777777" w:rsidTr="003222B0">
        <w:tc>
          <w:tcPr>
            <w:tcW w:w="3095" w:type="dxa"/>
            <w:shd w:val="clear" w:color="auto" w:fill="auto"/>
          </w:tcPr>
          <w:p w14:paraId="1B766C72" w14:textId="77777777" w:rsidR="005E5AC2" w:rsidRPr="005A46FC" w:rsidRDefault="005E5AC2" w:rsidP="003222B0">
            <w:pPr>
              <w:autoSpaceDE w:val="0"/>
              <w:autoSpaceDN w:val="0"/>
              <w:adjustRightInd w:val="0"/>
              <w:spacing w:after="0" w:line="240" w:lineRule="auto"/>
              <w:jc w:val="both"/>
              <w:rPr>
                <w:rFonts w:ascii="Times New Roman" w:hAnsi="Times New Roman"/>
                <w:sz w:val="24"/>
                <w:szCs w:val="24"/>
                <w:lang w:eastAsia="ru-RU"/>
              </w:rPr>
            </w:pPr>
          </w:p>
        </w:tc>
        <w:tc>
          <w:tcPr>
            <w:tcW w:w="3096" w:type="dxa"/>
            <w:shd w:val="clear" w:color="auto" w:fill="auto"/>
          </w:tcPr>
          <w:p w14:paraId="292B2197" w14:textId="77777777" w:rsidR="005E5AC2" w:rsidRPr="005A46FC" w:rsidRDefault="00256FC0" w:rsidP="003222B0">
            <w:pPr>
              <w:autoSpaceDE w:val="0"/>
              <w:autoSpaceDN w:val="0"/>
              <w:adjustRightInd w:val="0"/>
              <w:spacing w:after="0" w:line="240" w:lineRule="auto"/>
              <w:jc w:val="center"/>
              <w:rPr>
                <w:rFonts w:ascii="Times New Roman" w:hAnsi="Times New Roman"/>
                <w:b/>
                <w:bCs/>
                <w:sz w:val="24"/>
                <w:szCs w:val="24"/>
                <w:lang w:eastAsia="ru-RU"/>
              </w:rPr>
            </w:pPr>
            <w:r w:rsidRPr="005A46FC">
              <w:rPr>
                <w:rFonts w:ascii="Times New Roman" w:hAnsi="Times New Roman"/>
                <w:b/>
                <w:bCs/>
                <w:sz w:val="24"/>
                <w:szCs w:val="24"/>
                <w:lang w:eastAsia="ru-RU"/>
              </w:rPr>
              <w:t>Ленватиниб</w:t>
            </w:r>
          </w:p>
          <w:p w14:paraId="76B45EF7" w14:textId="77777777" w:rsidR="00256FC0" w:rsidRPr="005A46FC" w:rsidRDefault="00256FC0" w:rsidP="003222B0">
            <w:pPr>
              <w:autoSpaceDE w:val="0"/>
              <w:autoSpaceDN w:val="0"/>
              <w:adjustRightInd w:val="0"/>
              <w:spacing w:after="0" w:line="240" w:lineRule="auto"/>
              <w:jc w:val="center"/>
              <w:rPr>
                <w:rFonts w:ascii="Times New Roman" w:hAnsi="Times New Roman"/>
                <w:b/>
                <w:bCs/>
                <w:sz w:val="24"/>
                <w:szCs w:val="24"/>
                <w:lang w:val="en-US" w:eastAsia="ru-RU"/>
              </w:rPr>
            </w:pPr>
            <w:r w:rsidRPr="005A46FC">
              <w:rPr>
                <w:rFonts w:ascii="Times New Roman" w:hAnsi="Times New Roman"/>
                <w:b/>
                <w:bCs/>
                <w:sz w:val="24"/>
                <w:szCs w:val="24"/>
                <w:lang w:val="en-US" w:eastAsia="ru-RU"/>
              </w:rPr>
              <w:t>N = 261</w:t>
            </w:r>
          </w:p>
        </w:tc>
        <w:tc>
          <w:tcPr>
            <w:tcW w:w="3096" w:type="dxa"/>
            <w:shd w:val="clear" w:color="auto" w:fill="auto"/>
          </w:tcPr>
          <w:p w14:paraId="00AC2405" w14:textId="77777777" w:rsidR="005E5AC2" w:rsidRPr="005A46FC" w:rsidRDefault="00256FC0" w:rsidP="003222B0">
            <w:pPr>
              <w:autoSpaceDE w:val="0"/>
              <w:autoSpaceDN w:val="0"/>
              <w:adjustRightInd w:val="0"/>
              <w:spacing w:after="0" w:line="240" w:lineRule="auto"/>
              <w:jc w:val="center"/>
              <w:rPr>
                <w:rFonts w:ascii="Times New Roman" w:hAnsi="Times New Roman"/>
                <w:b/>
                <w:bCs/>
                <w:sz w:val="24"/>
                <w:szCs w:val="24"/>
                <w:lang w:eastAsia="ru-RU"/>
              </w:rPr>
            </w:pPr>
            <w:r w:rsidRPr="005A46FC">
              <w:rPr>
                <w:rFonts w:ascii="Times New Roman" w:hAnsi="Times New Roman"/>
                <w:b/>
                <w:bCs/>
                <w:sz w:val="24"/>
                <w:szCs w:val="24"/>
                <w:lang w:eastAsia="ru-RU"/>
              </w:rPr>
              <w:t>Плацебо</w:t>
            </w:r>
          </w:p>
          <w:p w14:paraId="66EE71B6" w14:textId="77777777" w:rsidR="00256FC0" w:rsidRPr="005A46FC" w:rsidRDefault="00256FC0" w:rsidP="003222B0">
            <w:pPr>
              <w:autoSpaceDE w:val="0"/>
              <w:autoSpaceDN w:val="0"/>
              <w:adjustRightInd w:val="0"/>
              <w:spacing w:after="0" w:line="240" w:lineRule="auto"/>
              <w:jc w:val="center"/>
              <w:rPr>
                <w:rFonts w:ascii="Times New Roman" w:hAnsi="Times New Roman"/>
                <w:b/>
                <w:bCs/>
                <w:sz w:val="24"/>
                <w:szCs w:val="24"/>
                <w:lang w:eastAsia="ru-RU"/>
              </w:rPr>
            </w:pPr>
            <w:r w:rsidRPr="005A46FC">
              <w:rPr>
                <w:rFonts w:ascii="Times New Roman" w:hAnsi="Times New Roman"/>
                <w:b/>
                <w:bCs/>
                <w:sz w:val="24"/>
                <w:szCs w:val="24"/>
                <w:lang w:val="en-US" w:eastAsia="ru-RU"/>
              </w:rPr>
              <w:t xml:space="preserve">N = </w:t>
            </w:r>
            <w:r w:rsidRPr="005A46FC">
              <w:rPr>
                <w:rFonts w:ascii="Times New Roman" w:hAnsi="Times New Roman"/>
                <w:b/>
                <w:bCs/>
                <w:sz w:val="24"/>
                <w:szCs w:val="24"/>
                <w:lang w:eastAsia="ru-RU"/>
              </w:rPr>
              <w:t>131</w:t>
            </w:r>
          </w:p>
        </w:tc>
      </w:tr>
      <w:tr w:rsidR="00256FC0" w:rsidRPr="005A46FC" w14:paraId="053709E3" w14:textId="77777777" w:rsidTr="003222B0">
        <w:tc>
          <w:tcPr>
            <w:tcW w:w="9287" w:type="dxa"/>
            <w:gridSpan w:val="3"/>
            <w:shd w:val="clear" w:color="auto" w:fill="auto"/>
          </w:tcPr>
          <w:p w14:paraId="19BD10B7" w14:textId="77777777" w:rsidR="00256FC0" w:rsidRPr="005A46FC" w:rsidRDefault="00256FC0"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Выживание без прогрессирования (PFS)</w:t>
            </w:r>
            <w:r w:rsidRPr="005A46FC">
              <w:rPr>
                <w:rFonts w:ascii="Times New Roman" w:hAnsi="Times New Roman"/>
                <w:b/>
                <w:bCs/>
                <w:sz w:val="24"/>
                <w:szCs w:val="24"/>
                <w:vertAlign w:val="superscript"/>
                <w:lang w:eastAsia="ru-RU"/>
              </w:rPr>
              <w:t>a</w:t>
            </w:r>
          </w:p>
        </w:tc>
      </w:tr>
      <w:tr w:rsidR="00256FC0" w:rsidRPr="005A46FC" w14:paraId="633CDE63" w14:textId="77777777" w:rsidTr="003222B0">
        <w:tc>
          <w:tcPr>
            <w:tcW w:w="3095" w:type="dxa"/>
            <w:shd w:val="clear" w:color="auto" w:fill="auto"/>
          </w:tcPr>
          <w:p w14:paraId="2B82EEEE"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Число прогрессирования или летальных исходов (%)</w:t>
            </w:r>
          </w:p>
        </w:tc>
        <w:tc>
          <w:tcPr>
            <w:tcW w:w="3096" w:type="dxa"/>
            <w:shd w:val="clear" w:color="auto" w:fill="auto"/>
          </w:tcPr>
          <w:p w14:paraId="5914F368"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107 (41.0)</w:t>
            </w:r>
          </w:p>
        </w:tc>
        <w:tc>
          <w:tcPr>
            <w:tcW w:w="3096" w:type="dxa"/>
            <w:shd w:val="clear" w:color="auto" w:fill="auto"/>
          </w:tcPr>
          <w:p w14:paraId="13CAB98C"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113 (86.3)</w:t>
            </w:r>
          </w:p>
        </w:tc>
      </w:tr>
      <w:tr w:rsidR="00256FC0" w:rsidRPr="005A46FC" w14:paraId="14C9FB8F" w14:textId="77777777" w:rsidTr="003222B0">
        <w:tc>
          <w:tcPr>
            <w:tcW w:w="3095" w:type="dxa"/>
            <w:shd w:val="clear" w:color="auto" w:fill="auto"/>
          </w:tcPr>
          <w:p w14:paraId="312C7473"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ВБП в месяцах (95% ДИ)</w:t>
            </w:r>
          </w:p>
        </w:tc>
        <w:tc>
          <w:tcPr>
            <w:tcW w:w="3096" w:type="dxa"/>
            <w:shd w:val="clear" w:color="auto" w:fill="auto"/>
          </w:tcPr>
          <w:p w14:paraId="117C3C9E"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18.3 (15.1, НО)</w:t>
            </w:r>
          </w:p>
        </w:tc>
        <w:tc>
          <w:tcPr>
            <w:tcW w:w="3096" w:type="dxa"/>
            <w:shd w:val="clear" w:color="auto" w:fill="auto"/>
          </w:tcPr>
          <w:p w14:paraId="662E2EE5"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3.6 (2.2, 3.7)</w:t>
            </w:r>
          </w:p>
        </w:tc>
      </w:tr>
      <w:tr w:rsidR="00256FC0" w:rsidRPr="005A46FC" w14:paraId="5F0BC889" w14:textId="77777777" w:rsidTr="003222B0">
        <w:tc>
          <w:tcPr>
            <w:tcW w:w="3095" w:type="dxa"/>
            <w:shd w:val="clear" w:color="auto" w:fill="auto"/>
          </w:tcPr>
          <w:p w14:paraId="23C453CC"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Соотношение рисков (99% ДИ)</w:t>
            </w:r>
            <w:r w:rsidRPr="005A46FC">
              <w:rPr>
                <w:rFonts w:ascii="Times New Roman" w:hAnsi="Times New Roman"/>
                <w:sz w:val="24"/>
                <w:szCs w:val="24"/>
                <w:vertAlign w:val="superscript"/>
                <w:lang w:val="en-US" w:eastAsia="ru-RU"/>
              </w:rPr>
              <w:t>b</w:t>
            </w:r>
            <w:r w:rsidRPr="005A46FC">
              <w:rPr>
                <w:rFonts w:ascii="Times New Roman" w:hAnsi="Times New Roman"/>
                <w:sz w:val="24"/>
                <w:szCs w:val="24"/>
                <w:vertAlign w:val="superscript"/>
                <w:lang w:eastAsia="ru-RU"/>
              </w:rPr>
              <w:t>,</w:t>
            </w:r>
            <w:r w:rsidRPr="005A46FC">
              <w:rPr>
                <w:rFonts w:ascii="Times New Roman" w:hAnsi="Times New Roman"/>
                <w:sz w:val="24"/>
                <w:szCs w:val="24"/>
                <w:vertAlign w:val="superscript"/>
                <w:lang w:val="en-US" w:eastAsia="ru-RU"/>
              </w:rPr>
              <w:t>c</w:t>
            </w:r>
          </w:p>
        </w:tc>
        <w:tc>
          <w:tcPr>
            <w:tcW w:w="6192" w:type="dxa"/>
            <w:gridSpan w:val="2"/>
            <w:shd w:val="clear" w:color="auto" w:fill="auto"/>
          </w:tcPr>
          <w:p w14:paraId="3DCF9173"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0.21 (0.14, 0.31)</w:t>
            </w:r>
          </w:p>
        </w:tc>
      </w:tr>
      <w:tr w:rsidR="00256FC0" w:rsidRPr="005A46FC" w14:paraId="363A38B5" w14:textId="77777777" w:rsidTr="003222B0">
        <w:tc>
          <w:tcPr>
            <w:tcW w:w="3095" w:type="dxa"/>
            <w:shd w:val="clear" w:color="auto" w:fill="auto"/>
          </w:tcPr>
          <w:p w14:paraId="62190EDA"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Р-значение</w:t>
            </w:r>
            <w:r w:rsidRPr="005A46FC">
              <w:rPr>
                <w:rFonts w:ascii="Times New Roman" w:hAnsi="Times New Roman"/>
                <w:sz w:val="24"/>
                <w:szCs w:val="24"/>
                <w:vertAlign w:val="superscript"/>
                <w:lang w:val="en-US" w:eastAsia="ru-RU"/>
              </w:rPr>
              <w:t>b</w:t>
            </w:r>
          </w:p>
        </w:tc>
        <w:tc>
          <w:tcPr>
            <w:tcW w:w="6192" w:type="dxa"/>
            <w:gridSpan w:val="2"/>
            <w:shd w:val="clear" w:color="auto" w:fill="auto"/>
          </w:tcPr>
          <w:p w14:paraId="765BAE4A"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&lt;0.0001</w:t>
            </w:r>
          </w:p>
        </w:tc>
      </w:tr>
      <w:tr w:rsidR="00256FC0" w:rsidRPr="005A46FC" w14:paraId="111E533D" w14:textId="77777777" w:rsidTr="003222B0">
        <w:tc>
          <w:tcPr>
            <w:tcW w:w="3095" w:type="dxa"/>
            <w:shd w:val="clear" w:color="auto" w:fill="auto"/>
          </w:tcPr>
          <w:p w14:paraId="729E39EA" w14:textId="77777777" w:rsidR="00256FC0" w:rsidRPr="005A46FC" w:rsidRDefault="00256FC0"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Пациенты, ранее получавшие 0 терапию, направленную на VEGF/VEGFR (%)</w:t>
            </w:r>
          </w:p>
        </w:tc>
        <w:tc>
          <w:tcPr>
            <w:tcW w:w="3096" w:type="dxa"/>
            <w:shd w:val="clear" w:color="auto" w:fill="auto"/>
          </w:tcPr>
          <w:p w14:paraId="3B20AEC2"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195 (74.7)</w:t>
            </w:r>
          </w:p>
        </w:tc>
        <w:tc>
          <w:tcPr>
            <w:tcW w:w="3096" w:type="dxa"/>
            <w:shd w:val="clear" w:color="auto" w:fill="auto"/>
          </w:tcPr>
          <w:p w14:paraId="6FDD1FEA"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104 (79.4)</w:t>
            </w:r>
          </w:p>
        </w:tc>
      </w:tr>
      <w:tr w:rsidR="00256FC0" w:rsidRPr="005A46FC" w14:paraId="30267978" w14:textId="77777777" w:rsidTr="003222B0">
        <w:tc>
          <w:tcPr>
            <w:tcW w:w="3095" w:type="dxa"/>
            <w:shd w:val="clear" w:color="auto" w:fill="auto"/>
          </w:tcPr>
          <w:p w14:paraId="536C0F1F"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Число прогрессирования или летальных исходов (%)</w:t>
            </w:r>
          </w:p>
        </w:tc>
        <w:tc>
          <w:tcPr>
            <w:tcW w:w="3096" w:type="dxa"/>
            <w:shd w:val="clear" w:color="auto" w:fill="auto"/>
          </w:tcPr>
          <w:p w14:paraId="738CE86F"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76</w:t>
            </w:r>
          </w:p>
        </w:tc>
        <w:tc>
          <w:tcPr>
            <w:tcW w:w="3096" w:type="dxa"/>
            <w:shd w:val="clear" w:color="auto" w:fill="auto"/>
          </w:tcPr>
          <w:p w14:paraId="7FBDD1CC"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88</w:t>
            </w:r>
          </w:p>
        </w:tc>
      </w:tr>
      <w:tr w:rsidR="00256FC0" w:rsidRPr="005A46FC" w14:paraId="7D46206E" w14:textId="77777777" w:rsidTr="003222B0">
        <w:tc>
          <w:tcPr>
            <w:tcW w:w="3095" w:type="dxa"/>
            <w:shd w:val="clear" w:color="auto" w:fill="auto"/>
          </w:tcPr>
          <w:p w14:paraId="4F0EBBE5"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ВБП в месяцах (95% ДИ)</w:t>
            </w:r>
          </w:p>
        </w:tc>
        <w:tc>
          <w:tcPr>
            <w:tcW w:w="3096" w:type="dxa"/>
            <w:shd w:val="clear" w:color="auto" w:fill="auto"/>
          </w:tcPr>
          <w:p w14:paraId="034B2F17"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18.7 (16.4, NE)</w:t>
            </w:r>
          </w:p>
        </w:tc>
        <w:tc>
          <w:tcPr>
            <w:tcW w:w="3096" w:type="dxa"/>
            <w:shd w:val="clear" w:color="auto" w:fill="auto"/>
          </w:tcPr>
          <w:p w14:paraId="765A323C"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3.6 (2.1, 5.3)</w:t>
            </w:r>
          </w:p>
        </w:tc>
      </w:tr>
      <w:tr w:rsidR="00256FC0" w:rsidRPr="005A46FC" w14:paraId="6F6AA550" w14:textId="77777777" w:rsidTr="003222B0">
        <w:tc>
          <w:tcPr>
            <w:tcW w:w="3095" w:type="dxa"/>
            <w:shd w:val="clear" w:color="auto" w:fill="auto"/>
          </w:tcPr>
          <w:p w14:paraId="06571DD1"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Соотношение рисков (99% ДИ)</w:t>
            </w:r>
            <w:r w:rsidRPr="005A46FC">
              <w:rPr>
                <w:rFonts w:ascii="Times New Roman" w:hAnsi="Times New Roman"/>
                <w:sz w:val="24"/>
                <w:szCs w:val="24"/>
                <w:vertAlign w:val="superscript"/>
                <w:lang w:val="en-US" w:eastAsia="ru-RU"/>
              </w:rPr>
              <w:t>b</w:t>
            </w:r>
            <w:r w:rsidRPr="005A46FC">
              <w:rPr>
                <w:rFonts w:ascii="Times New Roman" w:hAnsi="Times New Roman"/>
                <w:sz w:val="24"/>
                <w:szCs w:val="24"/>
                <w:vertAlign w:val="superscript"/>
                <w:lang w:eastAsia="ru-RU"/>
              </w:rPr>
              <w:t>,</w:t>
            </w:r>
            <w:r w:rsidRPr="005A46FC">
              <w:rPr>
                <w:rFonts w:ascii="Times New Roman" w:hAnsi="Times New Roman"/>
                <w:sz w:val="24"/>
                <w:szCs w:val="24"/>
                <w:vertAlign w:val="superscript"/>
                <w:lang w:val="en-US" w:eastAsia="ru-RU"/>
              </w:rPr>
              <w:t>c</w:t>
            </w:r>
          </w:p>
        </w:tc>
        <w:tc>
          <w:tcPr>
            <w:tcW w:w="6192" w:type="dxa"/>
            <w:gridSpan w:val="2"/>
            <w:shd w:val="clear" w:color="auto" w:fill="auto"/>
          </w:tcPr>
          <w:p w14:paraId="571F8629"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0.20 (0.14, 0.27)</w:t>
            </w:r>
          </w:p>
        </w:tc>
      </w:tr>
      <w:tr w:rsidR="00256FC0" w:rsidRPr="005A46FC" w14:paraId="757E18B0" w14:textId="77777777" w:rsidTr="003222B0">
        <w:tc>
          <w:tcPr>
            <w:tcW w:w="3095" w:type="dxa"/>
            <w:shd w:val="clear" w:color="auto" w:fill="auto"/>
          </w:tcPr>
          <w:p w14:paraId="6954E6C5" w14:textId="77777777" w:rsidR="00256FC0" w:rsidRPr="005A46FC" w:rsidRDefault="00256FC0"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Пациенты, ранее получавшие 1 терапию, направленную на VEGF/VEGFR (%)</w:t>
            </w:r>
          </w:p>
        </w:tc>
        <w:tc>
          <w:tcPr>
            <w:tcW w:w="3096" w:type="dxa"/>
            <w:shd w:val="clear" w:color="auto" w:fill="auto"/>
          </w:tcPr>
          <w:p w14:paraId="79260561"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66 (25.3)</w:t>
            </w:r>
          </w:p>
        </w:tc>
        <w:tc>
          <w:tcPr>
            <w:tcW w:w="3096" w:type="dxa"/>
            <w:shd w:val="clear" w:color="auto" w:fill="auto"/>
          </w:tcPr>
          <w:p w14:paraId="42A95712"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27 (20.6)</w:t>
            </w:r>
          </w:p>
        </w:tc>
      </w:tr>
      <w:tr w:rsidR="00256FC0" w:rsidRPr="005A46FC" w14:paraId="4C3276D9" w14:textId="77777777" w:rsidTr="003222B0">
        <w:tc>
          <w:tcPr>
            <w:tcW w:w="3095" w:type="dxa"/>
            <w:shd w:val="clear" w:color="auto" w:fill="auto"/>
          </w:tcPr>
          <w:p w14:paraId="01861F43"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Число прогрессирования или летальных исходов (%)</w:t>
            </w:r>
          </w:p>
        </w:tc>
        <w:tc>
          <w:tcPr>
            <w:tcW w:w="3096" w:type="dxa"/>
            <w:shd w:val="clear" w:color="auto" w:fill="auto"/>
          </w:tcPr>
          <w:p w14:paraId="116A029E"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31</w:t>
            </w:r>
          </w:p>
        </w:tc>
        <w:tc>
          <w:tcPr>
            <w:tcW w:w="3096" w:type="dxa"/>
            <w:shd w:val="clear" w:color="auto" w:fill="auto"/>
          </w:tcPr>
          <w:p w14:paraId="2AF3207F"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25</w:t>
            </w:r>
          </w:p>
        </w:tc>
      </w:tr>
      <w:tr w:rsidR="00256FC0" w:rsidRPr="005A46FC" w14:paraId="44ABDE8F" w14:textId="77777777" w:rsidTr="003222B0">
        <w:tc>
          <w:tcPr>
            <w:tcW w:w="3095" w:type="dxa"/>
            <w:shd w:val="clear" w:color="auto" w:fill="auto"/>
          </w:tcPr>
          <w:p w14:paraId="470648B2"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ВБП в месяцах (95% ДИ)</w:t>
            </w:r>
          </w:p>
        </w:tc>
        <w:tc>
          <w:tcPr>
            <w:tcW w:w="3096" w:type="dxa"/>
            <w:shd w:val="clear" w:color="auto" w:fill="auto"/>
          </w:tcPr>
          <w:p w14:paraId="571FBF5C"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15.1 (8.8, NE)</w:t>
            </w:r>
          </w:p>
        </w:tc>
        <w:tc>
          <w:tcPr>
            <w:tcW w:w="3096" w:type="dxa"/>
            <w:shd w:val="clear" w:color="auto" w:fill="auto"/>
          </w:tcPr>
          <w:p w14:paraId="77FD1F6F"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3.6 (1.9, 3.7)</w:t>
            </w:r>
          </w:p>
        </w:tc>
      </w:tr>
      <w:tr w:rsidR="00DB45F9" w:rsidRPr="005A46FC" w14:paraId="24F2E02A" w14:textId="77777777" w:rsidTr="003222B0">
        <w:tc>
          <w:tcPr>
            <w:tcW w:w="3095" w:type="dxa"/>
            <w:shd w:val="clear" w:color="auto" w:fill="auto"/>
          </w:tcPr>
          <w:p w14:paraId="1085E9E5" w14:textId="77777777" w:rsidR="00DB45F9" w:rsidRPr="005A46FC" w:rsidRDefault="00DB45F9"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Соотношение рисков (99% ДИ)</w:t>
            </w:r>
            <w:r w:rsidRPr="005A46FC">
              <w:rPr>
                <w:rFonts w:ascii="Times New Roman" w:hAnsi="Times New Roman"/>
                <w:sz w:val="24"/>
                <w:szCs w:val="24"/>
                <w:vertAlign w:val="superscript"/>
                <w:lang w:val="en-US" w:eastAsia="ru-RU"/>
              </w:rPr>
              <w:t>b</w:t>
            </w:r>
            <w:r w:rsidRPr="005A46FC">
              <w:rPr>
                <w:rFonts w:ascii="Times New Roman" w:hAnsi="Times New Roman"/>
                <w:sz w:val="24"/>
                <w:szCs w:val="24"/>
                <w:vertAlign w:val="superscript"/>
                <w:lang w:eastAsia="ru-RU"/>
              </w:rPr>
              <w:t>,</w:t>
            </w:r>
            <w:r w:rsidRPr="005A46FC">
              <w:rPr>
                <w:rFonts w:ascii="Times New Roman" w:hAnsi="Times New Roman"/>
                <w:sz w:val="24"/>
                <w:szCs w:val="24"/>
                <w:vertAlign w:val="superscript"/>
                <w:lang w:val="en-US" w:eastAsia="ru-RU"/>
              </w:rPr>
              <w:t>c</w:t>
            </w:r>
          </w:p>
        </w:tc>
        <w:tc>
          <w:tcPr>
            <w:tcW w:w="6192" w:type="dxa"/>
            <w:gridSpan w:val="2"/>
            <w:shd w:val="clear" w:color="auto" w:fill="auto"/>
          </w:tcPr>
          <w:p w14:paraId="7C6AB6C7" w14:textId="77777777" w:rsidR="00DB45F9"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0.22 (0.12, 0.41)</w:t>
            </w:r>
          </w:p>
        </w:tc>
      </w:tr>
      <w:tr w:rsidR="00DB45F9" w:rsidRPr="005A46FC" w14:paraId="35EED74C" w14:textId="77777777" w:rsidTr="003222B0">
        <w:tc>
          <w:tcPr>
            <w:tcW w:w="9287" w:type="dxa"/>
            <w:gridSpan w:val="3"/>
            <w:shd w:val="clear" w:color="auto" w:fill="auto"/>
          </w:tcPr>
          <w:p w14:paraId="148E6614" w14:textId="77777777" w:rsidR="00DB45F9" w:rsidRPr="005A46FC" w:rsidRDefault="00DB45F9"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b/>
                <w:bCs/>
                <w:sz w:val="24"/>
                <w:szCs w:val="24"/>
                <w:lang w:eastAsia="ru-RU"/>
              </w:rPr>
              <w:t>Степень объективного ответа</w:t>
            </w:r>
            <w:r w:rsidRPr="005A46FC">
              <w:rPr>
                <w:rFonts w:ascii="Times New Roman" w:hAnsi="Times New Roman"/>
                <w:b/>
                <w:bCs/>
                <w:sz w:val="24"/>
                <w:szCs w:val="24"/>
                <w:vertAlign w:val="superscript"/>
                <w:lang w:eastAsia="ru-RU"/>
              </w:rPr>
              <w:t>а</w:t>
            </w:r>
          </w:p>
        </w:tc>
      </w:tr>
      <w:tr w:rsidR="00256FC0" w:rsidRPr="005A46FC" w14:paraId="49A955E2" w14:textId="77777777" w:rsidTr="003222B0">
        <w:tc>
          <w:tcPr>
            <w:tcW w:w="3095" w:type="dxa"/>
            <w:shd w:val="clear" w:color="auto" w:fill="auto"/>
          </w:tcPr>
          <w:p w14:paraId="26C643C5"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Количество объективного ответа (%)</w:t>
            </w:r>
          </w:p>
        </w:tc>
        <w:tc>
          <w:tcPr>
            <w:tcW w:w="3096" w:type="dxa"/>
            <w:shd w:val="clear" w:color="auto" w:fill="auto"/>
          </w:tcPr>
          <w:p w14:paraId="1F22A925"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169 (64.8)</w:t>
            </w:r>
          </w:p>
        </w:tc>
        <w:tc>
          <w:tcPr>
            <w:tcW w:w="3096" w:type="dxa"/>
            <w:shd w:val="clear" w:color="auto" w:fill="auto"/>
          </w:tcPr>
          <w:p w14:paraId="0FBFBC59"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 (1.5)</w:t>
            </w:r>
          </w:p>
        </w:tc>
      </w:tr>
      <w:tr w:rsidR="00256FC0" w:rsidRPr="005A46FC" w14:paraId="751A8B72" w14:textId="77777777" w:rsidTr="003222B0">
        <w:tc>
          <w:tcPr>
            <w:tcW w:w="3095" w:type="dxa"/>
            <w:shd w:val="clear" w:color="auto" w:fill="auto"/>
          </w:tcPr>
          <w:p w14:paraId="005097BF"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(95% ДИ)</w:t>
            </w:r>
          </w:p>
        </w:tc>
        <w:tc>
          <w:tcPr>
            <w:tcW w:w="3096" w:type="dxa"/>
            <w:shd w:val="clear" w:color="auto" w:fill="auto"/>
          </w:tcPr>
          <w:p w14:paraId="2EDA294B"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(59.0, 70.5)</w:t>
            </w:r>
          </w:p>
        </w:tc>
        <w:tc>
          <w:tcPr>
            <w:tcW w:w="3096" w:type="dxa"/>
            <w:shd w:val="clear" w:color="auto" w:fill="auto"/>
          </w:tcPr>
          <w:p w14:paraId="026EF0DA"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(0.0, 3.6)</w:t>
            </w:r>
          </w:p>
        </w:tc>
      </w:tr>
      <w:tr w:rsidR="00DB45F9" w:rsidRPr="005A46FC" w14:paraId="7C8D6489" w14:textId="77777777" w:rsidTr="003222B0">
        <w:tc>
          <w:tcPr>
            <w:tcW w:w="3095" w:type="dxa"/>
            <w:shd w:val="clear" w:color="auto" w:fill="auto"/>
          </w:tcPr>
          <w:p w14:paraId="166493B9" w14:textId="77777777" w:rsidR="00DB45F9" w:rsidRPr="005A46FC" w:rsidRDefault="00DB45F9"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Р-значение</w:t>
            </w:r>
            <w:r w:rsidRPr="005A46FC">
              <w:rPr>
                <w:rFonts w:ascii="Times New Roman" w:hAnsi="Times New Roman"/>
                <w:sz w:val="24"/>
                <w:szCs w:val="24"/>
                <w:vertAlign w:val="superscript"/>
                <w:lang w:val="en-US" w:eastAsia="ru-RU"/>
              </w:rPr>
              <w:t>b</w:t>
            </w:r>
          </w:p>
        </w:tc>
        <w:tc>
          <w:tcPr>
            <w:tcW w:w="6192" w:type="dxa"/>
            <w:gridSpan w:val="2"/>
            <w:shd w:val="clear" w:color="auto" w:fill="auto"/>
          </w:tcPr>
          <w:p w14:paraId="2B83DBA0" w14:textId="77777777" w:rsidR="00DB45F9"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&lt;0.0001</w:t>
            </w:r>
          </w:p>
        </w:tc>
      </w:tr>
      <w:tr w:rsidR="00256FC0" w:rsidRPr="005A46FC" w14:paraId="2E6B8FFE" w14:textId="77777777" w:rsidTr="003222B0">
        <w:tc>
          <w:tcPr>
            <w:tcW w:w="3095" w:type="dxa"/>
            <w:shd w:val="clear" w:color="auto" w:fill="auto"/>
          </w:tcPr>
          <w:p w14:paraId="5756CCAF"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Количество полного ответа</w:t>
            </w:r>
          </w:p>
        </w:tc>
        <w:tc>
          <w:tcPr>
            <w:tcW w:w="3096" w:type="dxa"/>
            <w:shd w:val="clear" w:color="auto" w:fill="auto"/>
          </w:tcPr>
          <w:p w14:paraId="37F74B96"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4</w:t>
            </w:r>
          </w:p>
        </w:tc>
        <w:tc>
          <w:tcPr>
            <w:tcW w:w="3096" w:type="dxa"/>
            <w:shd w:val="clear" w:color="auto" w:fill="auto"/>
          </w:tcPr>
          <w:p w14:paraId="251B968E"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w:t>
            </w:r>
          </w:p>
        </w:tc>
      </w:tr>
      <w:tr w:rsidR="00256FC0" w:rsidRPr="005A46FC" w14:paraId="5A0BE38B" w14:textId="77777777" w:rsidTr="003222B0">
        <w:tc>
          <w:tcPr>
            <w:tcW w:w="3095" w:type="dxa"/>
            <w:shd w:val="clear" w:color="auto" w:fill="auto"/>
          </w:tcPr>
          <w:p w14:paraId="6F7FC4E8"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Количество частичного ответа</w:t>
            </w:r>
          </w:p>
        </w:tc>
        <w:tc>
          <w:tcPr>
            <w:tcW w:w="3096" w:type="dxa"/>
            <w:shd w:val="clear" w:color="auto" w:fill="auto"/>
          </w:tcPr>
          <w:p w14:paraId="13B1FCFB"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165</w:t>
            </w:r>
          </w:p>
        </w:tc>
        <w:tc>
          <w:tcPr>
            <w:tcW w:w="3096" w:type="dxa"/>
            <w:shd w:val="clear" w:color="auto" w:fill="auto"/>
          </w:tcPr>
          <w:p w14:paraId="2E42F709"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w:t>
            </w:r>
          </w:p>
        </w:tc>
      </w:tr>
      <w:tr w:rsidR="00256FC0" w:rsidRPr="005A46FC" w14:paraId="3BC85888" w14:textId="77777777" w:rsidTr="003222B0">
        <w:tc>
          <w:tcPr>
            <w:tcW w:w="3095" w:type="dxa"/>
            <w:shd w:val="clear" w:color="auto" w:fill="auto"/>
          </w:tcPr>
          <w:p w14:paraId="15252C15"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Среднее время объективного ответа</w:t>
            </w:r>
            <w:r w:rsidRPr="005A46FC">
              <w:rPr>
                <w:rFonts w:ascii="Times New Roman" w:hAnsi="Times New Roman"/>
                <w:sz w:val="24"/>
                <w:szCs w:val="24"/>
                <w:vertAlign w:val="superscript"/>
                <w:lang w:val="en-US" w:eastAsia="ru-RU"/>
              </w:rPr>
              <w:t>d</w:t>
            </w:r>
            <w:r w:rsidRPr="005A46FC">
              <w:rPr>
                <w:rFonts w:ascii="Times New Roman" w:hAnsi="Times New Roman"/>
                <w:sz w:val="24"/>
                <w:szCs w:val="24"/>
                <w:lang w:eastAsia="ru-RU"/>
              </w:rPr>
              <w:t>, месяцы (95% ДИ)</w:t>
            </w:r>
          </w:p>
        </w:tc>
        <w:tc>
          <w:tcPr>
            <w:tcW w:w="3096" w:type="dxa"/>
            <w:shd w:val="clear" w:color="auto" w:fill="auto"/>
          </w:tcPr>
          <w:p w14:paraId="4E18DA46"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2.0 (1.9, 3.5)</w:t>
            </w:r>
          </w:p>
        </w:tc>
        <w:tc>
          <w:tcPr>
            <w:tcW w:w="3096" w:type="dxa"/>
            <w:shd w:val="clear" w:color="auto" w:fill="auto"/>
          </w:tcPr>
          <w:p w14:paraId="2A7A958F"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5.6 (1.8, 9.4)</w:t>
            </w:r>
          </w:p>
        </w:tc>
      </w:tr>
      <w:tr w:rsidR="005E5AC2" w:rsidRPr="005A46FC" w14:paraId="6104928A" w14:textId="77777777" w:rsidTr="003222B0">
        <w:tc>
          <w:tcPr>
            <w:tcW w:w="3095" w:type="dxa"/>
            <w:shd w:val="clear" w:color="auto" w:fill="auto"/>
          </w:tcPr>
          <w:p w14:paraId="0FF91B1F" w14:textId="77777777" w:rsidR="005E5AC2"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Длительность ответа</w:t>
            </w:r>
            <w:r w:rsidRPr="005A46FC">
              <w:rPr>
                <w:rFonts w:ascii="Times New Roman" w:hAnsi="Times New Roman"/>
                <w:sz w:val="24"/>
                <w:szCs w:val="24"/>
                <w:vertAlign w:val="superscript"/>
                <w:lang w:val="en-US" w:eastAsia="ru-RU"/>
              </w:rPr>
              <w:t>d</w:t>
            </w:r>
            <w:r w:rsidRPr="005A46FC">
              <w:rPr>
                <w:rFonts w:ascii="Times New Roman" w:hAnsi="Times New Roman"/>
                <w:sz w:val="24"/>
                <w:szCs w:val="24"/>
                <w:lang w:eastAsia="ru-RU"/>
              </w:rPr>
              <w:t>, месяцы, средняя (95% ДИ)</w:t>
            </w:r>
          </w:p>
        </w:tc>
        <w:tc>
          <w:tcPr>
            <w:tcW w:w="3096" w:type="dxa"/>
            <w:shd w:val="clear" w:color="auto" w:fill="auto"/>
          </w:tcPr>
          <w:p w14:paraId="62923333" w14:textId="77777777" w:rsidR="005E5AC2"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NE (16.8, NE)</w:t>
            </w:r>
          </w:p>
        </w:tc>
        <w:tc>
          <w:tcPr>
            <w:tcW w:w="3096" w:type="dxa"/>
            <w:shd w:val="clear" w:color="auto" w:fill="auto"/>
          </w:tcPr>
          <w:p w14:paraId="1DC31B8C" w14:textId="77777777" w:rsidR="005E5AC2"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NE (NE, NE)</w:t>
            </w:r>
          </w:p>
        </w:tc>
      </w:tr>
      <w:tr w:rsidR="005E5AC2" w:rsidRPr="005A46FC" w14:paraId="5CFA5168" w14:textId="77777777" w:rsidTr="003222B0">
        <w:tc>
          <w:tcPr>
            <w:tcW w:w="3095" w:type="dxa"/>
            <w:shd w:val="clear" w:color="auto" w:fill="auto"/>
          </w:tcPr>
          <w:p w14:paraId="07769952" w14:textId="77777777" w:rsidR="005E5AC2" w:rsidRPr="005A46FC" w:rsidRDefault="00256FC0"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Общая выживаемость</w:t>
            </w:r>
          </w:p>
        </w:tc>
        <w:tc>
          <w:tcPr>
            <w:tcW w:w="3096" w:type="dxa"/>
            <w:shd w:val="clear" w:color="auto" w:fill="auto"/>
          </w:tcPr>
          <w:p w14:paraId="6BE48274" w14:textId="77777777" w:rsidR="005E5AC2" w:rsidRPr="005A46FC" w:rsidRDefault="005E5AC2" w:rsidP="003222B0">
            <w:pPr>
              <w:autoSpaceDE w:val="0"/>
              <w:autoSpaceDN w:val="0"/>
              <w:adjustRightInd w:val="0"/>
              <w:spacing w:after="0" w:line="240" w:lineRule="auto"/>
              <w:jc w:val="center"/>
              <w:rPr>
                <w:rFonts w:ascii="Times New Roman" w:hAnsi="Times New Roman"/>
                <w:sz w:val="24"/>
                <w:szCs w:val="24"/>
                <w:lang w:eastAsia="ru-RU"/>
              </w:rPr>
            </w:pPr>
          </w:p>
        </w:tc>
        <w:tc>
          <w:tcPr>
            <w:tcW w:w="3096" w:type="dxa"/>
            <w:shd w:val="clear" w:color="auto" w:fill="auto"/>
          </w:tcPr>
          <w:p w14:paraId="386D87AA" w14:textId="77777777" w:rsidR="005E5AC2" w:rsidRPr="005A46FC" w:rsidRDefault="005E5AC2" w:rsidP="003222B0">
            <w:pPr>
              <w:autoSpaceDE w:val="0"/>
              <w:autoSpaceDN w:val="0"/>
              <w:adjustRightInd w:val="0"/>
              <w:spacing w:after="0" w:line="240" w:lineRule="auto"/>
              <w:jc w:val="center"/>
              <w:rPr>
                <w:rFonts w:ascii="Times New Roman" w:hAnsi="Times New Roman"/>
                <w:sz w:val="24"/>
                <w:szCs w:val="24"/>
                <w:lang w:eastAsia="ru-RU"/>
              </w:rPr>
            </w:pPr>
          </w:p>
        </w:tc>
      </w:tr>
      <w:tr w:rsidR="005E5AC2" w:rsidRPr="005A46FC" w14:paraId="2DD707AB" w14:textId="77777777" w:rsidTr="003222B0">
        <w:tc>
          <w:tcPr>
            <w:tcW w:w="3095" w:type="dxa"/>
            <w:shd w:val="clear" w:color="auto" w:fill="auto"/>
          </w:tcPr>
          <w:p w14:paraId="0A11FC05" w14:textId="77777777" w:rsidR="005E5AC2"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Число летальных исходов (%)</w:t>
            </w:r>
          </w:p>
        </w:tc>
        <w:tc>
          <w:tcPr>
            <w:tcW w:w="3096" w:type="dxa"/>
            <w:shd w:val="clear" w:color="auto" w:fill="auto"/>
          </w:tcPr>
          <w:p w14:paraId="6EFDFB3E" w14:textId="77777777" w:rsidR="005E5AC2"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71 (27.2)</w:t>
            </w:r>
          </w:p>
        </w:tc>
        <w:tc>
          <w:tcPr>
            <w:tcW w:w="3096" w:type="dxa"/>
            <w:shd w:val="clear" w:color="auto" w:fill="auto"/>
          </w:tcPr>
          <w:p w14:paraId="209C78E7" w14:textId="77777777" w:rsidR="005E5AC2"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47 (35.9)</w:t>
            </w:r>
          </w:p>
        </w:tc>
      </w:tr>
      <w:tr w:rsidR="00256FC0" w:rsidRPr="005A46FC" w14:paraId="51A45E3A" w14:textId="77777777" w:rsidTr="003222B0">
        <w:tc>
          <w:tcPr>
            <w:tcW w:w="3095" w:type="dxa"/>
            <w:shd w:val="clear" w:color="auto" w:fill="auto"/>
          </w:tcPr>
          <w:p w14:paraId="2D4DE51E"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общая выживаемость в месяцах (95% ДТ)</w:t>
            </w:r>
          </w:p>
        </w:tc>
        <w:tc>
          <w:tcPr>
            <w:tcW w:w="3096" w:type="dxa"/>
            <w:shd w:val="clear" w:color="auto" w:fill="auto"/>
          </w:tcPr>
          <w:p w14:paraId="205B7A01"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NE (22.0, NE)</w:t>
            </w:r>
          </w:p>
        </w:tc>
        <w:tc>
          <w:tcPr>
            <w:tcW w:w="3096" w:type="dxa"/>
            <w:shd w:val="clear" w:color="auto" w:fill="auto"/>
          </w:tcPr>
          <w:p w14:paraId="7064447D"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NE (20.3, NE)</w:t>
            </w:r>
          </w:p>
        </w:tc>
      </w:tr>
      <w:tr w:rsidR="00DB45F9" w:rsidRPr="005A46FC" w14:paraId="311ACC84" w14:textId="77777777" w:rsidTr="003222B0">
        <w:tc>
          <w:tcPr>
            <w:tcW w:w="3095" w:type="dxa"/>
            <w:shd w:val="clear" w:color="auto" w:fill="auto"/>
          </w:tcPr>
          <w:p w14:paraId="29BFC9CA" w14:textId="77777777" w:rsidR="00DB45F9" w:rsidRPr="005A46FC" w:rsidRDefault="00DB45F9"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Соотношение рисков (95% ДИ)</w:t>
            </w:r>
            <w:r w:rsidRPr="005A46FC">
              <w:rPr>
                <w:rFonts w:ascii="Times New Roman" w:hAnsi="Times New Roman"/>
                <w:sz w:val="24"/>
                <w:szCs w:val="24"/>
                <w:vertAlign w:val="superscript"/>
                <w:lang w:val="en-US" w:eastAsia="ru-RU"/>
              </w:rPr>
              <w:t>b</w:t>
            </w:r>
            <w:r w:rsidRPr="005A46FC">
              <w:rPr>
                <w:rFonts w:ascii="Times New Roman" w:hAnsi="Times New Roman"/>
                <w:sz w:val="24"/>
                <w:szCs w:val="24"/>
                <w:vertAlign w:val="superscript"/>
                <w:lang w:eastAsia="ru-RU"/>
              </w:rPr>
              <w:t>,</w:t>
            </w:r>
            <w:r w:rsidRPr="005A46FC">
              <w:rPr>
                <w:rFonts w:ascii="Times New Roman" w:hAnsi="Times New Roman"/>
                <w:sz w:val="24"/>
                <w:szCs w:val="24"/>
                <w:vertAlign w:val="superscript"/>
                <w:lang w:val="en-US" w:eastAsia="ru-RU"/>
              </w:rPr>
              <w:t>e</w:t>
            </w:r>
          </w:p>
        </w:tc>
        <w:tc>
          <w:tcPr>
            <w:tcW w:w="6192" w:type="dxa"/>
            <w:gridSpan w:val="2"/>
            <w:shd w:val="clear" w:color="auto" w:fill="auto"/>
          </w:tcPr>
          <w:p w14:paraId="3DAD0161" w14:textId="77777777" w:rsidR="00DB45F9"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0.73 (0.50, 1.07)</w:t>
            </w:r>
          </w:p>
        </w:tc>
      </w:tr>
      <w:tr w:rsidR="00DB45F9" w:rsidRPr="005A46FC" w14:paraId="15BA9DBA" w14:textId="77777777" w:rsidTr="003222B0">
        <w:tc>
          <w:tcPr>
            <w:tcW w:w="3095" w:type="dxa"/>
            <w:shd w:val="clear" w:color="auto" w:fill="auto"/>
          </w:tcPr>
          <w:p w14:paraId="6C24BB78" w14:textId="77777777" w:rsidR="00DB45F9" w:rsidRPr="005A46FC" w:rsidRDefault="00DB45F9"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lastRenderedPageBreak/>
              <w:t>Р-значение</w:t>
            </w:r>
            <w:r w:rsidRPr="005A46FC">
              <w:rPr>
                <w:rFonts w:ascii="Times New Roman" w:hAnsi="Times New Roman"/>
                <w:sz w:val="24"/>
                <w:szCs w:val="24"/>
                <w:vertAlign w:val="superscript"/>
                <w:lang w:val="en-US" w:eastAsia="ru-RU"/>
              </w:rPr>
              <w:t>b,e</w:t>
            </w:r>
          </w:p>
        </w:tc>
        <w:tc>
          <w:tcPr>
            <w:tcW w:w="6192" w:type="dxa"/>
            <w:gridSpan w:val="2"/>
            <w:shd w:val="clear" w:color="auto" w:fill="auto"/>
          </w:tcPr>
          <w:p w14:paraId="5838CA6D" w14:textId="77777777" w:rsidR="00DB45F9" w:rsidRPr="005A46FC" w:rsidRDefault="00DB45F9" w:rsidP="003222B0">
            <w:pPr>
              <w:autoSpaceDE w:val="0"/>
              <w:autoSpaceDN w:val="0"/>
              <w:adjustRightInd w:val="0"/>
              <w:spacing w:after="0" w:line="240" w:lineRule="auto"/>
              <w:jc w:val="center"/>
              <w:rPr>
                <w:rFonts w:ascii="Times New Roman" w:hAnsi="Times New Roman"/>
                <w:sz w:val="24"/>
                <w:szCs w:val="24"/>
                <w:lang w:val="en-US" w:eastAsia="ru-RU"/>
              </w:rPr>
            </w:pPr>
            <w:r w:rsidRPr="005A46FC">
              <w:rPr>
                <w:rFonts w:ascii="Times New Roman" w:hAnsi="Times New Roman"/>
                <w:sz w:val="24"/>
                <w:szCs w:val="24"/>
                <w:lang w:eastAsia="ru-RU"/>
              </w:rPr>
              <w:t>0.1032</w:t>
            </w:r>
          </w:p>
        </w:tc>
      </w:tr>
      <w:tr w:rsidR="00DB45F9" w:rsidRPr="005A46FC" w14:paraId="4D30D668" w14:textId="77777777" w:rsidTr="003222B0">
        <w:tc>
          <w:tcPr>
            <w:tcW w:w="9287" w:type="dxa"/>
            <w:gridSpan w:val="3"/>
            <w:shd w:val="clear" w:color="auto" w:fill="auto"/>
          </w:tcPr>
          <w:p w14:paraId="3341B227"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val="en-US" w:eastAsia="ru-RU"/>
              </w:rPr>
              <w:t>NE</w:t>
            </w:r>
            <w:r w:rsidRPr="005A46FC">
              <w:rPr>
                <w:rFonts w:ascii="Times New Roman" w:hAnsi="Times New Roman"/>
                <w:sz w:val="24"/>
                <w:szCs w:val="24"/>
                <w:lang w:eastAsia="ru-RU"/>
              </w:rPr>
              <w:t xml:space="preserve"> = не поддается оценке;</w:t>
            </w:r>
          </w:p>
          <w:p w14:paraId="7A5C43E0"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 xml:space="preserve">RPSFT, модель времени разрушения конструкции с сохранением ранга; </w:t>
            </w:r>
          </w:p>
          <w:p w14:paraId="40A4F40B"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VEGF/VEGFR, фактор роста эндотелия сосудов/рецептор фактора роста эндотелия сосудов.</w:t>
            </w:r>
          </w:p>
          <w:p w14:paraId="133313A7"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а: Независимый рентгенологический обзор.</w:t>
            </w:r>
          </w:p>
          <w:p w14:paraId="2985B65A"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b: стратификация по регионам (Европа, Северная Америка, другие страны), возрастным группам (≤65 лет и &gt;65 лет) и предыдущей терапии, направленной на VEGF/VEGFR (0 против 1).</w:t>
            </w:r>
          </w:p>
          <w:p w14:paraId="09B15585"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c: Оценено с помощью модели пропорциональных рисков Кокса.</w:t>
            </w:r>
          </w:p>
          <w:p w14:paraId="732A72FB"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г: оценка по методу Каплана-Мейера; 95% ДИ был построен с помощью обобщенного метода Брукмейера и Кроули у пациентов с лучшим общим ответом полного или частичного ответа.</w:t>
            </w:r>
          </w:p>
          <w:p w14:paraId="3E89F2B5"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e: Без поправки на перекрестный эффект.</w:t>
            </w:r>
          </w:p>
        </w:tc>
      </w:tr>
    </w:tbl>
    <w:p w14:paraId="659E26A6" w14:textId="77777777" w:rsidR="00DB45F9" w:rsidRPr="005A46FC" w:rsidRDefault="00DB45F9" w:rsidP="005E5AC2">
      <w:pPr>
        <w:autoSpaceDE w:val="0"/>
        <w:autoSpaceDN w:val="0"/>
        <w:adjustRightInd w:val="0"/>
        <w:spacing w:after="0" w:line="240" w:lineRule="auto"/>
        <w:jc w:val="both"/>
        <w:rPr>
          <w:rFonts w:ascii="Times New Roman" w:hAnsi="Times New Roman"/>
          <w:sz w:val="24"/>
          <w:szCs w:val="24"/>
          <w:lang w:eastAsia="ru-RU"/>
        </w:rPr>
      </w:pPr>
    </w:p>
    <w:p w14:paraId="7F3DAA75" w14:textId="77777777" w:rsidR="005E5AC2" w:rsidRPr="005A46FC" w:rsidRDefault="00DB45F9" w:rsidP="005E5AC2">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Рис. 1. Кривая Каплана-Мейера для выживания без прогрессирования — ДРЩЖ</w:t>
      </w:r>
    </w:p>
    <w:p w14:paraId="7BC149E1" w14:textId="77777777" w:rsidR="00F20F22" w:rsidRPr="005A46FC" w:rsidRDefault="000B2474"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noProof/>
          <w:sz w:val="24"/>
          <w:szCs w:val="24"/>
          <w:lang w:eastAsia="ru-RU"/>
        </w:rPr>
        <mc:AlternateContent>
          <mc:Choice Requires="wps">
            <w:drawing>
              <wp:anchor distT="0" distB="0" distL="114300" distR="114300" simplePos="0" relativeHeight="251651072" behindDoc="0" locked="0" layoutInCell="1" allowOverlap="1" wp14:anchorId="55ACB455" wp14:editId="5D8EFBC4">
                <wp:simplePos x="0" y="0"/>
                <wp:positionH relativeFrom="column">
                  <wp:posOffset>-78105</wp:posOffset>
                </wp:positionH>
                <wp:positionV relativeFrom="paragraph">
                  <wp:posOffset>884555</wp:posOffset>
                </wp:positionV>
                <wp:extent cx="175895" cy="146240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2405"/>
                        </a:xfrm>
                        <a:prstGeom prst="rect">
                          <a:avLst/>
                        </a:prstGeom>
                        <a:solidFill>
                          <a:srgbClr val="FFFFFF"/>
                        </a:solidFill>
                        <a:ln>
                          <a:noFill/>
                        </a:ln>
                      </wps:spPr>
                      <wps:txbx>
                        <w:txbxContent>
                          <w:p w14:paraId="21D92073" w14:textId="77777777" w:rsidR="00492564" w:rsidRPr="00842576" w:rsidRDefault="00492564" w:rsidP="00492564">
                            <w:pPr>
                              <w:jc w:val="center"/>
                              <w:rPr>
                                <w:rFonts w:ascii="Times New Roman" w:hAnsi="Times New Roman"/>
                                <w:b/>
                                <w:sz w:val="20"/>
                                <w:szCs w:val="32"/>
                              </w:rPr>
                            </w:pPr>
                            <w:r w:rsidRPr="00842576">
                              <w:rPr>
                                <w:rFonts w:ascii="Times New Roman" w:hAnsi="Times New Roman"/>
                                <w:b/>
                                <w:sz w:val="20"/>
                                <w:szCs w:val="32"/>
                              </w:rPr>
                              <w:t>Вероятность</w:t>
                            </w:r>
                            <w:r>
                              <w:rPr>
                                <w:rFonts w:ascii="Times New Roman" w:hAnsi="Times New Roman"/>
                                <w:b/>
                                <w:sz w:val="20"/>
                                <w:szCs w:val="32"/>
                              </w:rPr>
                              <w:t xml:space="preserve"> ВБП</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CB455" id="_x0000_t202" coordsize="21600,21600" o:spt="202" path="m,l,21600r21600,l21600,xe">
                <v:stroke joinstyle="miter"/>
                <v:path gradientshapeok="t" o:connecttype="rect"/>
              </v:shapetype>
              <v:shape id="Text Box 2" o:spid="_x0000_s1026" type="#_x0000_t202" style="position:absolute;left:0;text-align:left;margin-left:-6.15pt;margin-top:69.65pt;width:13.85pt;height:11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" stroked="f">
                <v:textbox style="layout-flow:vertical;mso-layout-flow-alt:bottom-to-top" inset="0,0,0,0">
                  <w:txbxContent>
                    <w:p w14:paraId="21D92073" w14:textId="77777777" w:rsidR="00492564" w:rsidRPr="00842576" w:rsidRDefault="00492564" w:rsidP="00492564">
                      <w:pPr>
                        <w:jc w:val="center"/>
                        <w:rPr>
                          <w:rFonts w:ascii="Times New Roman" w:hAnsi="Times New Roman"/>
                          <w:b/>
                          <w:sz w:val="20"/>
                          <w:szCs w:val="32"/>
                        </w:rPr>
                      </w:pPr>
                      <w:r w:rsidRPr="00842576">
                        <w:rPr>
                          <w:rFonts w:ascii="Times New Roman" w:hAnsi="Times New Roman"/>
                          <w:b/>
                          <w:sz w:val="20"/>
                          <w:szCs w:val="32"/>
                        </w:rPr>
                        <w:t>Вероятность</w:t>
                      </w:r>
                      <w:r>
                        <w:rPr>
                          <w:rFonts w:ascii="Times New Roman" w:hAnsi="Times New Roman"/>
                          <w:b/>
                          <w:sz w:val="20"/>
                          <w:szCs w:val="32"/>
                        </w:rPr>
                        <w:t xml:space="preserve"> ВБП</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0048" behindDoc="0" locked="0" layoutInCell="1" allowOverlap="1" wp14:anchorId="515D74B4" wp14:editId="095309D1">
                <wp:simplePos x="0" y="0"/>
                <wp:positionH relativeFrom="column">
                  <wp:posOffset>4274185</wp:posOffset>
                </wp:positionH>
                <wp:positionV relativeFrom="paragraph">
                  <wp:posOffset>199390</wp:posOffset>
                </wp:positionV>
                <wp:extent cx="1925320" cy="8572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857250"/>
                        </a:xfrm>
                        <a:prstGeom prst="rect">
                          <a:avLst/>
                        </a:prstGeom>
                        <a:solidFill>
                          <a:srgbClr val="FFFFFF"/>
                        </a:solidFill>
                        <a:ln>
                          <a:noFill/>
                        </a:ln>
                      </wps:spPr>
                      <wps:txbx>
                        <w:txbxContent>
                          <w:p w14:paraId="2BA66772" w14:textId="77777777" w:rsidR="00F20F22" w:rsidRPr="00492564" w:rsidRDefault="00F20F22" w:rsidP="00F20F22">
                            <w:pPr>
                              <w:spacing w:after="0" w:line="240" w:lineRule="auto"/>
                              <w:rPr>
                                <w:rFonts w:ascii="Times New Roman" w:hAnsi="Times New Roman"/>
                                <w:b/>
                                <w:bCs/>
                                <w:sz w:val="14"/>
                              </w:rPr>
                            </w:pPr>
                            <w:r w:rsidRPr="00492564">
                              <w:rPr>
                                <w:rFonts w:ascii="Times New Roman" w:hAnsi="Times New Roman"/>
                                <w:b/>
                                <w:bCs/>
                                <w:sz w:val="14"/>
                              </w:rPr>
                              <w:t>Медиана (месяцы) (95% ДИ)</w:t>
                            </w:r>
                          </w:p>
                          <w:p w14:paraId="29DB382A" w14:textId="77777777" w:rsidR="00492564" w:rsidRPr="00492564" w:rsidRDefault="00F20F22" w:rsidP="00F20F22">
                            <w:pPr>
                              <w:spacing w:after="0" w:line="240" w:lineRule="auto"/>
                              <w:rPr>
                                <w:rFonts w:ascii="Times New Roman" w:hAnsi="Times New Roman"/>
                                <w:color w:val="0070C0"/>
                                <w:sz w:val="14"/>
                              </w:rPr>
                            </w:pPr>
                            <w:r w:rsidRPr="00492564">
                              <w:rPr>
                                <w:rFonts w:ascii="Times New Roman" w:hAnsi="Times New Roman"/>
                                <w:color w:val="0070C0"/>
                                <w:sz w:val="14"/>
                              </w:rPr>
                              <w:t xml:space="preserve">Ленватиниб </w:t>
                            </w:r>
                            <w:r w:rsidR="00492564" w:rsidRPr="00492564">
                              <w:rPr>
                                <w:rFonts w:ascii="Times New Roman" w:hAnsi="Times New Roman"/>
                                <w:color w:val="0070C0"/>
                                <w:sz w:val="14"/>
                              </w:rPr>
                              <w:t xml:space="preserve">16.3 (15.1, </w:t>
                            </w:r>
                            <w:r w:rsidR="00492564" w:rsidRPr="00492564">
                              <w:rPr>
                                <w:rFonts w:ascii="Times New Roman" w:hAnsi="Times New Roman"/>
                                <w:color w:val="0070C0"/>
                                <w:sz w:val="14"/>
                                <w:lang w:val="en-US"/>
                              </w:rPr>
                              <w:t>NE</w:t>
                            </w:r>
                            <w:r w:rsidR="00492564" w:rsidRPr="00492564">
                              <w:rPr>
                                <w:rFonts w:ascii="Times New Roman" w:hAnsi="Times New Roman"/>
                                <w:color w:val="0070C0"/>
                                <w:sz w:val="14"/>
                              </w:rPr>
                              <w:t>)</w:t>
                            </w:r>
                          </w:p>
                          <w:p w14:paraId="5A065C21" w14:textId="77777777" w:rsidR="00492564" w:rsidRDefault="00492564" w:rsidP="00F20F22">
                            <w:pPr>
                              <w:spacing w:after="0" w:line="240" w:lineRule="auto"/>
                              <w:rPr>
                                <w:rFonts w:ascii="Times New Roman" w:hAnsi="Times New Roman"/>
                                <w:sz w:val="14"/>
                              </w:rPr>
                            </w:pPr>
                            <w:r>
                              <w:rPr>
                                <w:rFonts w:ascii="Times New Roman" w:hAnsi="Times New Roman"/>
                                <w:sz w:val="14"/>
                              </w:rPr>
                              <w:t>Плацебо 3.6 (2.2, 3.7)</w:t>
                            </w:r>
                          </w:p>
                          <w:p w14:paraId="410932A8" w14:textId="77777777" w:rsidR="00492564" w:rsidRDefault="00492564" w:rsidP="00F20F22">
                            <w:pPr>
                              <w:spacing w:after="0" w:line="240" w:lineRule="auto"/>
                              <w:rPr>
                                <w:rFonts w:ascii="Times New Roman" w:hAnsi="Times New Roman"/>
                                <w:sz w:val="14"/>
                              </w:rPr>
                            </w:pPr>
                            <w:r>
                              <w:rPr>
                                <w:rFonts w:ascii="Times New Roman" w:hAnsi="Times New Roman"/>
                                <w:sz w:val="14"/>
                              </w:rPr>
                              <w:t>Соотношение рисков (99% ДИ): 0,21 (0.14, 0.31)</w:t>
                            </w:r>
                          </w:p>
                          <w:p w14:paraId="18E93A9D" w14:textId="77777777" w:rsidR="00492564" w:rsidRPr="00492564" w:rsidRDefault="00492564" w:rsidP="00F20F22">
                            <w:pPr>
                              <w:spacing w:after="0" w:line="240" w:lineRule="auto"/>
                              <w:rPr>
                                <w:rFonts w:ascii="Times New Roman" w:hAnsi="Times New Roman"/>
                                <w:sz w:val="14"/>
                              </w:rPr>
                            </w:pPr>
                            <w:r>
                              <w:rPr>
                                <w:rFonts w:ascii="Times New Roman" w:hAnsi="Times New Roman"/>
                                <w:sz w:val="14"/>
                                <w:lang w:val="en-US"/>
                              </w:rPr>
                              <w:t>Log</w:t>
                            </w:r>
                            <w:r w:rsidRPr="00FE22FD">
                              <w:rPr>
                                <w:rFonts w:ascii="Times New Roman" w:hAnsi="Times New Roman"/>
                                <w:sz w:val="14"/>
                              </w:rPr>
                              <w:t>-</w:t>
                            </w:r>
                            <w:r>
                              <w:rPr>
                                <w:rFonts w:ascii="Times New Roman" w:hAnsi="Times New Roman"/>
                                <w:sz w:val="14"/>
                                <w:lang w:val="en-US"/>
                              </w:rPr>
                              <w:t>Rank</w:t>
                            </w:r>
                            <w:r w:rsidRPr="00FE22FD">
                              <w:rPr>
                                <w:rFonts w:ascii="Times New Roman" w:hAnsi="Times New Roman"/>
                                <w:sz w:val="14"/>
                              </w:rPr>
                              <w:t xml:space="preserve"> </w:t>
                            </w:r>
                            <w:r>
                              <w:rPr>
                                <w:rFonts w:ascii="Times New Roman" w:hAnsi="Times New Roman"/>
                                <w:sz w:val="14"/>
                              </w:rPr>
                              <w:t xml:space="preserve">тест: Р </w:t>
                            </w:r>
                            <w:r w:rsidRPr="00FE22FD">
                              <w:rPr>
                                <w:rFonts w:ascii="Times New Roman" w:hAnsi="Times New Roman"/>
                                <w:sz w:val="14"/>
                              </w:rPr>
                              <w:t>&lt;</w:t>
                            </w:r>
                            <w:r>
                              <w:rPr>
                                <w:rFonts w:ascii="Times New Roman" w:hAnsi="Times New Roman"/>
                                <w:sz w:val="14"/>
                              </w:rPr>
                              <w:t>0.0001</w:t>
                            </w:r>
                          </w:p>
                          <w:p w14:paraId="467A5BDF" w14:textId="77777777" w:rsidR="00492564" w:rsidRPr="00492564" w:rsidRDefault="00492564" w:rsidP="00F20F22">
                            <w:pPr>
                              <w:spacing w:after="0" w:line="240" w:lineRule="auto"/>
                              <w:rPr>
                                <w:rFonts w:ascii="Times New Roman" w:hAnsi="Times New Roman"/>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D74B4" id="_x0000_s1027" type="#_x0000_t202" style="position:absolute;left:0;text-align:left;margin-left:336.55pt;margin-top:15.7pt;width:151.6pt;height: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" stroked="f">
                <v:textbox inset="0,0,0,0">
                  <w:txbxContent>
                    <w:p w14:paraId="2BA66772" w14:textId="77777777" w:rsidR="00F20F22" w:rsidRPr="00492564" w:rsidRDefault="00F20F22" w:rsidP="00F20F22">
                      <w:pPr>
                        <w:spacing w:after="0" w:line="240" w:lineRule="auto"/>
                        <w:rPr>
                          <w:rFonts w:ascii="Times New Roman" w:hAnsi="Times New Roman"/>
                          <w:b/>
                          <w:bCs/>
                          <w:sz w:val="14"/>
                        </w:rPr>
                      </w:pPr>
                      <w:r w:rsidRPr="00492564">
                        <w:rPr>
                          <w:rFonts w:ascii="Times New Roman" w:hAnsi="Times New Roman"/>
                          <w:b/>
                          <w:bCs/>
                          <w:sz w:val="14"/>
                        </w:rPr>
                        <w:t>Медиана (месяцы) (95% ДИ)</w:t>
                      </w:r>
                    </w:p>
                    <w:p w14:paraId="29DB382A" w14:textId="77777777" w:rsidR="00492564" w:rsidRPr="00492564" w:rsidRDefault="00F20F22" w:rsidP="00F20F22">
                      <w:pPr>
                        <w:spacing w:after="0" w:line="240" w:lineRule="auto"/>
                        <w:rPr>
                          <w:rFonts w:ascii="Times New Roman" w:hAnsi="Times New Roman"/>
                          <w:color w:val="0070C0"/>
                          <w:sz w:val="14"/>
                        </w:rPr>
                      </w:pPr>
                      <w:r w:rsidRPr="00492564">
                        <w:rPr>
                          <w:rFonts w:ascii="Times New Roman" w:hAnsi="Times New Roman"/>
                          <w:color w:val="0070C0"/>
                          <w:sz w:val="14"/>
                        </w:rPr>
                        <w:t xml:space="preserve">Ленватиниб </w:t>
                      </w:r>
                      <w:r w:rsidR="00492564" w:rsidRPr="00492564">
                        <w:rPr>
                          <w:rFonts w:ascii="Times New Roman" w:hAnsi="Times New Roman"/>
                          <w:color w:val="0070C0"/>
                          <w:sz w:val="14"/>
                        </w:rPr>
                        <w:t xml:space="preserve">16.3 (15.1, </w:t>
                      </w:r>
                      <w:r w:rsidR="00492564" w:rsidRPr="00492564">
                        <w:rPr>
                          <w:rFonts w:ascii="Times New Roman" w:hAnsi="Times New Roman"/>
                          <w:color w:val="0070C0"/>
                          <w:sz w:val="14"/>
                          <w:lang w:val="en-US"/>
                        </w:rPr>
                        <w:t>NE</w:t>
                      </w:r>
                      <w:r w:rsidR="00492564" w:rsidRPr="00492564">
                        <w:rPr>
                          <w:rFonts w:ascii="Times New Roman" w:hAnsi="Times New Roman"/>
                          <w:color w:val="0070C0"/>
                          <w:sz w:val="14"/>
                        </w:rPr>
                        <w:t>)</w:t>
                      </w:r>
                    </w:p>
                    <w:p w14:paraId="5A065C21" w14:textId="77777777" w:rsidR="00492564" w:rsidRDefault="00492564" w:rsidP="00F20F22">
                      <w:pPr>
                        <w:spacing w:after="0" w:line="240" w:lineRule="auto"/>
                        <w:rPr>
                          <w:rFonts w:ascii="Times New Roman" w:hAnsi="Times New Roman"/>
                          <w:sz w:val="14"/>
                        </w:rPr>
                      </w:pPr>
                      <w:r>
                        <w:rPr>
                          <w:rFonts w:ascii="Times New Roman" w:hAnsi="Times New Roman"/>
                          <w:sz w:val="14"/>
                        </w:rPr>
                        <w:t>Плацебо 3.6 (2.2, 3.7)</w:t>
                      </w:r>
                    </w:p>
                    <w:p w14:paraId="410932A8" w14:textId="77777777" w:rsidR="00492564" w:rsidRDefault="00492564" w:rsidP="00F20F22">
                      <w:pPr>
                        <w:spacing w:after="0" w:line="240" w:lineRule="auto"/>
                        <w:rPr>
                          <w:rFonts w:ascii="Times New Roman" w:hAnsi="Times New Roman"/>
                          <w:sz w:val="14"/>
                        </w:rPr>
                      </w:pPr>
                      <w:r>
                        <w:rPr>
                          <w:rFonts w:ascii="Times New Roman" w:hAnsi="Times New Roman"/>
                          <w:sz w:val="14"/>
                        </w:rPr>
                        <w:t>Соотношение рисков (99% ДИ): 0,21 (0.14, 0.31)</w:t>
                      </w:r>
                    </w:p>
                    <w:p w14:paraId="18E93A9D" w14:textId="77777777" w:rsidR="00492564" w:rsidRPr="00492564" w:rsidRDefault="00492564" w:rsidP="00F20F22">
                      <w:pPr>
                        <w:spacing w:after="0" w:line="240" w:lineRule="auto"/>
                        <w:rPr>
                          <w:rFonts w:ascii="Times New Roman" w:hAnsi="Times New Roman"/>
                          <w:sz w:val="14"/>
                        </w:rPr>
                      </w:pPr>
                      <w:r>
                        <w:rPr>
                          <w:rFonts w:ascii="Times New Roman" w:hAnsi="Times New Roman"/>
                          <w:sz w:val="14"/>
                          <w:lang w:val="en-US"/>
                        </w:rPr>
                        <w:t>Log</w:t>
                      </w:r>
                      <w:r w:rsidRPr="00FE22FD">
                        <w:rPr>
                          <w:rFonts w:ascii="Times New Roman" w:hAnsi="Times New Roman"/>
                          <w:sz w:val="14"/>
                        </w:rPr>
                        <w:t>-</w:t>
                      </w:r>
                      <w:r>
                        <w:rPr>
                          <w:rFonts w:ascii="Times New Roman" w:hAnsi="Times New Roman"/>
                          <w:sz w:val="14"/>
                          <w:lang w:val="en-US"/>
                        </w:rPr>
                        <w:t>Rank</w:t>
                      </w:r>
                      <w:r w:rsidRPr="00FE22FD">
                        <w:rPr>
                          <w:rFonts w:ascii="Times New Roman" w:hAnsi="Times New Roman"/>
                          <w:sz w:val="14"/>
                        </w:rPr>
                        <w:t xml:space="preserve"> </w:t>
                      </w:r>
                      <w:r>
                        <w:rPr>
                          <w:rFonts w:ascii="Times New Roman" w:hAnsi="Times New Roman"/>
                          <w:sz w:val="14"/>
                        </w:rPr>
                        <w:t xml:space="preserve">тест: Р </w:t>
                      </w:r>
                      <w:r w:rsidRPr="00FE22FD">
                        <w:rPr>
                          <w:rFonts w:ascii="Times New Roman" w:hAnsi="Times New Roman"/>
                          <w:sz w:val="14"/>
                        </w:rPr>
                        <w:t>&lt;</w:t>
                      </w:r>
                      <w:r>
                        <w:rPr>
                          <w:rFonts w:ascii="Times New Roman" w:hAnsi="Times New Roman"/>
                          <w:sz w:val="14"/>
                        </w:rPr>
                        <w:t>0.0001</w:t>
                      </w:r>
                    </w:p>
                    <w:p w14:paraId="467A5BDF" w14:textId="77777777" w:rsidR="00492564" w:rsidRPr="00492564" w:rsidRDefault="00492564" w:rsidP="00F20F22">
                      <w:pPr>
                        <w:spacing w:after="0" w:line="240" w:lineRule="auto"/>
                        <w:rPr>
                          <w:rFonts w:ascii="Times New Roman" w:hAnsi="Times New Roman"/>
                          <w:sz w:val="14"/>
                        </w:rPr>
                      </w:pPr>
                    </w:p>
                  </w:txbxContent>
                </v:textbox>
              </v:shape>
            </w:pict>
          </mc:Fallback>
        </mc:AlternateContent>
      </w:r>
      <w:r w:rsidRPr="005A46FC">
        <w:rPr>
          <w:rFonts w:ascii="Times New Roman" w:hAnsi="Times New Roman"/>
          <w:noProof/>
          <w:sz w:val="24"/>
          <w:szCs w:val="24"/>
          <w:lang w:eastAsia="ru-RU"/>
        </w:rPr>
        <w:drawing>
          <wp:inline distT="0" distB="0" distL="0" distR="0" wp14:anchorId="51AC4408" wp14:editId="58BACE15">
            <wp:extent cx="5814060" cy="304038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948" b="12543"/>
                    <a:stretch>
                      <a:fillRect/>
                    </a:stretch>
                  </pic:blipFill>
                  <pic:spPr bwMode="auto">
                    <a:xfrm>
                      <a:off x="0" y="0"/>
                      <a:ext cx="5814060" cy="3040380"/>
                    </a:xfrm>
                    <a:prstGeom prst="rect">
                      <a:avLst/>
                    </a:prstGeom>
                    <a:noFill/>
                    <a:ln>
                      <a:noFill/>
                    </a:ln>
                  </pic:spPr>
                </pic:pic>
              </a:graphicData>
            </a:graphic>
          </wp:inline>
        </w:drawing>
      </w:r>
    </w:p>
    <w:p w14:paraId="413C34D9" w14:textId="77777777" w:rsidR="00903B23" w:rsidRPr="005A46FC" w:rsidRDefault="00903B23" w:rsidP="00903B23">
      <w:pPr>
        <w:autoSpaceDE w:val="0"/>
        <w:autoSpaceDN w:val="0"/>
        <w:adjustRightInd w:val="0"/>
        <w:spacing w:after="0" w:line="240" w:lineRule="auto"/>
        <w:jc w:val="center"/>
        <w:rPr>
          <w:rFonts w:ascii="Times New Roman" w:hAnsi="Times New Roman"/>
          <w:b/>
          <w:bCs/>
          <w:sz w:val="20"/>
          <w:szCs w:val="20"/>
          <w:lang w:eastAsia="ru-RU"/>
        </w:rPr>
      </w:pPr>
      <w:r w:rsidRPr="005A46FC">
        <w:rPr>
          <w:rFonts w:ascii="Times New Roman" w:hAnsi="Times New Roman"/>
          <w:b/>
          <w:bCs/>
          <w:sz w:val="20"/>
          <w:szCs w:val="20"/>
          <w:lang w:eastAsia="ru-RU"/>
        </w:rPr>
        <w:t>Время (месяцы)</w:t>
      </w:r>
    </w:p>
    <w:p w14:paraId="3DC44944" w14:textId="77777777" w:rsidR="005E5AC2" w:rsidRPr="005A46FC" w:rsidRDefault="00492564" w:rsidP="009C1431">
      <w:pPr>
        <w:autoSpaceDE w:val="0"/>
        <w:autoSpaceDN w:val="0"/>
        <w:adjustRightInd w:val="0"/>
        <w:spacing w:after="0" w:line="240" w:lineRule="auto"/>
        <w:jc w:val="both"/>
        <w:rPr>
          <w:rFonts w:ascii="Times New Roman" w:hAnsi="Times New Roman"/>
          <w:b/>
          <w:bCs/>
          <w:sz w:val="16"/>
          <w:szCs w:val="16"/>
          <w:lang w:eastAsia="ru-RU"/>
        </w:rPr>
      </w:pPr>
      <w:r w:rsidRPr="005A46FC">
        <w:rPr>
          <w:rFonts w:ascii="Times New Roman" w:hAnsi="Times New Roman"/>
          <w:b/>
          <w:bCs/>
          <w:sz w:val="16"/>
          <w:szCs w:val="16"/>
          <w:lang w:eastAsia="ru-RU"/>
        </w:rPr>
        <w:t>Количество субъектов риска</w:t>
      </w:r>
    </w:p>
    <w:tbl>
      <w:tblPr>
        <w:tblW w:w="0" w:type="auto"/>
        <w:tblLook w:val="04A0" w:firstRow="1" w:lastRow="0" w:firstColumn="1" w:lastColumn="0" w:noHBand="0" w:noVBand="1"/>
      </w:tblPr>
      <w:tblGrid>
        <w:gridCol w:w="1036"/>
        <w:gridCol w:w="641"/>
        <w:gridCol w:w="641"/>
        <w:gridCol w:w="640"/>
        <w:gridCol w:w="640"/>
        <w:gridCol w:w="640"/>
        <w:gridCol w:w="640"/>
        <w:gridCol w:w="640"/>
        <w:gridCol w:w="591"/>
        <w:gridCol w:w="591"/>
        <w:gridCol w:w="545"/>
        <w:gridCol w:w="545"/>
        <w:gridCol w:w="499"/>
        <w:gridCol w:w="499"/>
        <w:gridCol w:w="499"/>
      </w:tblGrid>
      <w:tr w:rsidR="00492564" w:rsidRPr="005A46FC" w14:paraId="355C10C3" w14:textId="77777777" w:rsidTr="003222B0">
        <w:tc>
          <w:tcPr>
            <w:tcW w:w="1036" w:type="dxa"/>
            <w:shd w:val="clear" w:color="auto" w:fill="auto"/>
          </w:tcPr>
          <w:p w14:paraId="2E3B86C7"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Ленватиниб</w:t>
            </w:r>
          </w:p>
        </w:tc>
        <w:tc>
          <w:tcPr>
            <w:tcW w:w="641" w:type="dxa"/>
            <w:shd w:val="clear" w:color="auto" w:fill="auto"/>
          </w:tcPr>
          <w:p w14:paraId="3CAE484D"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261</w:t>
            </w:r>
          </w:p>
        </w:tc>
        <w:tc>
          <w:tcPr>
            <w:tcW w:w="641" w:type="dxa"/>
            <w:shd w:val="clear" w:color="auto" w:fill="auto"/>
          </w:tcPr>
          <w:p w14:paraId="05187ACF"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225</w:t>
            </w:r>
          </w:p>
        </w:tc>
        <w:tc>
          <w:tcPr>
            <w:tcW w:w="640" w:type="dxa"/>
            <w:shd w:val="clear" w:color="auto" w:fill="auto"/>
          </w:tcPr>
          <w:p w14:paraId="172BF998"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198</w:t>
            </w:r>
          </w:p>
        </w:tc>
        <w:tc>
          <w:tcPr>
            <w:tcW w:w="640" w:type="dxa"/>
            <w:shd w:val="clear" w:color="auto" w:fill="auto"/>
          </w:tcPr>
          <w:p w14:paraId="0D12FE02"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176</w:t>
            </w:r>
          </w:p>
        </w:tc>
        <w:tc>
          <w:tcPr>
            <w:tcW w:w="640" w:type="dxa"/>
            <w:shd w:val="clear" w:color="auto" w:fill="auto"/>
          </w:tcPr>
          <w:p w14:paraId="2CA758A3"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159</w:t>
            </w:r>
          </w:p>
        </w:tc>
        <w:tc>
          <w:tcPr>
            <w:tcW w:w="640" w:type="dxa"/>
            <w:shd w:val="clear" w:color="auto" w:fill="auto"/>
          </w:tcPr>
          <w:p w14:paraId="2B002AC0"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148</w:t>
            </w:r>
          </w:p>
        </w:tc>
        <w:tc>
          <w:tcPr>
            <w:tcW w:w="640" w:type="dxa"/>
            <w:shd w:val="clear" w:color="auto" w:fill="auto"/>
          </w:tcPr>
          <w:p w14:paraId="4074D0CE"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136</w:t>
            </w:r>
          </w:p>
        </w:tc>
        <w:tc>
          <w:tcPr>
            <w:tcW w:w="591" w:type="dxa"/>
            <w:shd w:val="clear" w:color="auto" w:fill="auto"/>
          </w:tcPr>
          <w:p w14:paraId="5C7B4C7F"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92</w:t>
            </w:r>
          </w:p>
        </w:tc>
        <w:tc>
          <w:tcPr>
            <w:tcW w:w="591" w:type="dxa"/>
            <w:shd w:val="clear" w:color="auto" w:fill="auto"/>
          </w:tcPr>
          <w:p w14:paraId="01327FEE"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66</w:t>
            </w:r>
          </w:p>
        </w:tc>
        <w:tc>
          <w:tcPr>
            <w:tcW w:w="545" w:type="dxa"/>
            <w:shd w:val="clear" w:color="auto" w:fill="auto"/>
          </w:tcPr>
          <w:p w14:paraId="09626E22"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44</w:t>
            </w:r>
          </w:p>
        </w:tc>
        <w:tc>
          <w:tcPr>
            <w:tcW w:w="545" w:type="dxa"/>
            <w:shd w:val="clear" w:color="auto" w:fill="auto"/>
          </w:tcPr>
          <w:p w14:paraId="2027C953"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24</w:t>
            </w:r>
          </w:p>
        </w:tc>
        <w:tc>
          <w:tcPr>
            <w:tcW w:w="499" w:type="dxa"/>
            <w:shd w:val="clear" w:color="auto" w:fill="auto"/>
          </w:tcPr>
          <w:p w14:paraId="31633242"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11</w:t>
            </w:r>
          </w:p>
        </w:tc>
        <w:tc>
          <w:tcPr>
            <w:tcW w:w="499" w:type="dxa"/>
            <w:shd w:val="clear" w:color="auto" w:fill="auto"/>
          </w:tcPr>
          <w:p w14:paraId="458BD98B"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3</w:t>
            </w:r>
          </w:p>
        </w:tc>
        <w:tc>
          <w:tcPr>
            <w:tcW w:w="499" w:type="dxa"/>
            <w:shd w:val="clear" w:color="auto" w:fill="auto"/>
          </w:tcPr>
          <w:p w14:paraId="2125773D"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0</w:t>
            </w:r>
          </w:p>
        </w:tc>
      </w:tr>
      <w:tr w:rsidR="00492564" w:rsidRPr="005A46FC" w14:paraId="7711E302" w14:textId="77777777" w:rsidTr="003222B0">
        <w:tc>
          <w:tcPr>
            <w:tcW w:w="1036" w:type="dxa"/>
            <w:shd w:val="clear" w:color="auto" w:fill="auto"/>
          </w:tcPr>
          <w:p w14:paraId="27FBEC1F" w14:textId="77777777" w:rsidR="00492564" w:rsidRPr="005A46FC" w:rsidRDefault="00492564" w:rsidP="003222B0">
            <w:pPr>
              <w:autoSpaceDE w:val="0"/>
              <w:autoSpaceDN w:val="0"/>
              <w:adjustRightInd w:val="0"/>
              <w:spacing w:after="0" w:line="240" w:lineRule="auto"/>
              <w:jc w:val="both"/>
              <w:rPr>
                <w:rFonts w:ascii="Times New Roman" w:hAnsi="Times New Roman"/>
                <w:sz w:val="16"/>
                <w:szCs w:val="16"/>
                <w:lang w:eastAsia="ru-RU"/>
              </w:rPr>
            </w:pPr>
            <w:r w:rsidRPr="005A46FC">
              <w:rPr>
                <w:rFonts w:ascii="Times New Roman" w:hAnsi="Times New Roman"/>
                <w:sz w:val="16"/>
                <w:szCs w:val="16"/>
                <w:lang w:eastAsia="ru-RU"/>
              </w:rPr>
              <w:t>Плацебо</w:t>
            </w:r>
          </w:p>
        </w:tc>
        <w:tc>
          <w:tcPr>
            <w:tcW w:w="641" w:type="dxa"/>
            <w:shd w:val="clear" w:color="auto" w:fill="auto"/>
          </w:tcPr>
          <w:p w14:paraId="069E2E97"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131</w:t>
            </w:r>
          </w:p>
        </w:tc>
        <w:tc>
          <w:tcPr>
            <w:tcW w:w="641" w:type="dxa"/>
            <w:shd w:val="clear" w:color="auto" w:fill="auto"/>
          </w:tcPr>
          <w:p w14:paraId="7D6E1BB6"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71</w:t>
            </w:r>
          </w:p>
        </w:tc>
        <w:tc>
          <w:tcPr>
            <w:tcW w:w="640" w:type="dxa"/>
            <w:shd w:val="clear" w:color="auto" w:fill="auto"/>
          </w:tcPr>
          <w:p w14:paraId="042A128D"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43</w:t>
            </w:r>
          </w:p>
        </w:tc>
        <w:tc>
          <w:tcPr>
            <w:tcW w:w="640" w:type="dxa"/>
            <w:shd w:val="clear" w:color="auto" w:fill="auto"/>
          </w:tcPr>
          <w:p w14:paraId="5D166165"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29</w:t>
            </w:r>
          </w:p>
        </w:tc>
        <w:tc>
          <w:tcPr>
            <w:tcW w:w="640" w:type="dxa"/>
            <w:shd w:val="clear" w:color="auto" w:fill="auto"/>
          </w:tcPr>
          <w:p w14:paraId="3EA3460B"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19</w:t>
            </w:r>
          </w:p>
        </w:tc>
        <w:tc>
          <w:tcPr>
            <w:tcW w:w="640" w:type="dxa"/>
            <w:shd w:val="clear" w:color="auto" w:fill="auto"/>
          </w:tcPr>
          <w:p w14:paraId="18C2F27C"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13</w:t>
            </w:r>
          </w:p>
        </w:tc>
        <w:tc>
          <w:tcPr>
            <w:tcW w:w="640" w:type="dxa"/>
            <w:shd w:val="clear" w:color="auto" w:fill="auto"/>
          </w:tcPr>
          <w:p w14:paraId="09DD3466"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11</w:t>
            </w:r>
          </w:p>
        </w:tc>
        <w:tc>
          <w:tcPr>
            <w:tcW w:w="591" w:type="dxa"/>
            <w:shd w:val="clear" w:color="auto" w:fill="auto"/>
          </w:tcPr>
          <w:p w14:paraId="062FED1F"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5</w:t>
            </w:r>
          </w:p>
        </w:tc>
        <w:tc>
          <w:tcPr>
            <w:tcW w:w="591" w:type="dxa"/>
            <w:shd w:val="clear" w:color="auto" w:fill="auto"/>
          </w:tcPr>
          <w:p w14:paraId="77A87D59"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4</w:t>
            </w:r>
          </w:p>
        </w:tc>
        <w:tc>
          <w:tcPr>
            <w:tcW w:w="545" w:type="dxa"/>
            <w:shd w:val="clear" w:color="auto" w:fill="auto"/>
          </w:tcPr>
          <w:p w14:paraId="15DDBD4A"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2</w:t>
            </w:r>
          </w:p>
        </w:tc>
        <w:tc>
          <w:tcPr>
            <w:tcW w:w="545" w:type="dxa"/>
            <w:shd w:val="clear" w:color="auto" w:fill="auto"/>
          </w:tcPr>
          <w:p w14:paraId="76B38065"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2</w:t>
            </w:r>
          </w:p>
        </w:tc>
        <w:tc>
          <w:tcPr>
            <w:tcW w:w="499" w:type="dxa"/>
            <w:shd w:val="clear" w:color="auto" w:fill="auto"/>
          </w:tcPr>
          <w:p w14:paraId="5F518B97"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2</w:t>
            </w:r>
          </w:p>
        </w:tc>
        <w:tc>
          <w:tcPr>
            <w:tcW w:w="499" w:type="dxa"/>
            <w:shd w:val="clear" w:color="auto" w:fill="auto"/>
          </w:tcPr>
          <w:p w14:paraId="56650515"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0</w:t>
            </w:r>
          </w:p>
        </w:tc>
        <w:tc>
          <w:tcPr>
            <w:tcW w:w="499" w:type="dxa"/>
            <w:shd w:val="clear" w:color="auto" w:fill="auto"/>
          </w:tcPr>
          <w:p w14:paraId="7C80DFAD"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0</w:t>
            </w:r>
          </w:p>
        </w:tc>
      </w:tr>
    </w:tbl>
    <w:p w14:paraId="043ECAFA" w14:textId="77777777" w:rsidR="00DB45F9" w:rsidRPr="005A46FC" w:rsidRDefault="00DB45F9" w:rsidP="009C1431">
      <w:pPr>
        <w:autoSpaceDE w:val="0"/>
        <w:autoSpaceDN w:val="0"/>
        <w:adjustRightInd w:val="0"/>
        <w:spacing w:after="0" w:line="240" w:lineRule="auto"/>
        <w:jc w:val="both"/>
        <w:rPr>
          <w:rFonts w:ascii="Times New Roman" w:hAnsi="Times New Roman"/>
          <w:sz w:val="24"/>
          <w:szCs w:val="24"/>
          <w:lang w:eastAsia="ru-RU"/>
        </w:rPr>
      </w:pPr>
    </w:p>
    <w:p w14:paraId="77FD870C" w14:textId="77777777" w:rsidR="00107EDB" w:rsidRPr="005A46FC" w:rsidRDefault="00107EDB" w:rsidP="00107EDB">
      <w:pPr>
        <w:autoSpaceDE w:val="0"/>
        <w:autoSpaceDN w:val="0"/>
        <w:adjustRightInd w:val="0"/>
        <w:spacing w:after="0" w:line="240" w:lineRule="auto"/>
        <w:jc w:val="both"/>
        <w:rPr>
          <w:rFonts w:ascii="Times New Roman" w:hAnsi="Times New Roman"/>
          <w:i/>
          <w:iCs/>
          <w:sz w:val="24"/>
          <w:szCs w:val="24"/>
          <w:lang w:eastAsia="ru-RU"/>
        </w:rPr>
      </w:pPr>
      <w:r w:rsidRPr="005A46FC">
        <w:rPr>
          <w:rFonts w:ascii="Times New Roman" w:hAnsi="Times New Roman"/>
          <w:i/>
          <w:iCs/>
          <w:sz w:val="24"/>
          <w:szCs w:val="24"/>
          <w:lang w:eastAsia="ru-RU"/>
        </w:rPr>
        <w:t>Гепатоцеллюлярный рак</w:t>
      </w:r>
    </w:p>
    <w:p w14:paraId="5432DA55" w14:textId="77777777" w:rsidR="00107EDB" w:rsidRPr="005A46FC" w:rsidRDefault="00107EDB" w:rsidP="00107EDB">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Клиническая эффективность и безопасность ленватиниба оценивались в международном многоцентровом открытом рандомизированном исследовании 3 фазы (REFLECT) у пациентов с неоперабельным гепатоцеллюлярным раком (ГЦР).</w:t>
      </w:r>
    </w:p>
    <w:p w14:paraId="3DEEDC33" w14:textId="77777777" w:rsidR="00107EDB" w:rsidRPr="005A46FC" w:rsidRDefault="00107EDB" w:rsidP="00107EDB">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В общей сложности 954 пациента были рандомизированы в соотношении 1:1 для приема либо ленватиниба (12 мг [исходная масса тела ≥60 кг] или 8 мг [исходная масса тела &lt;60 кг]) перорально один раз в день, либо сорафениба 400 мг перорально два раза в день.</w:t>
      </w:r>
    </w:p>
    <w:p w14:paraId="0F826AE5" w14:textId="77777777" w:rsidR="00107EDB" w:rsidRPr="005A46FC" w:rsidRDefault="00107EDB" w:rsidP="00107EDB">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Пациенты имели право на участие, если они имели статус функции печени класса А по Чайлд-Пью и функциональный статус группы Восточной кооперативной онкологии (ECOG PS) 0 или 1. Были исключены пациенты, которые ранее проходили системную противораковую терапию </w:t>
      </w:r>
      <w:r w:rsidR="006757F1" w:rsidRPr="005A46FC">
        <w:rPr>
          <w:rFonts w:ascii="Times New Roman" w:hAnsi="Times New Roman"/>
          <w:sz w:val="24"/>
          <w:szCs w:val="24"/>
          <w:lang w:eastAsia="ru-RU"/>
        </w:rPr>
        <w:t>против</w:t>
      </w:r>
      <w:r w:rsidRPr="005A46FC">
        <w:rPr>
          <w:rFonts w:ascii="Times New Roman" w:hAnsi="Times New Roman"/>
          <w:sz w:val="24"/>
          <w:szCs w:val="24"/>
          <w:lang w:eastAsia="ru-RU"/>
        </w:rPr>
        <w:t xml:space="preserve"> распространенного/нерезектабельного ГЦР или люб</w:t>
      </w:r>
      <w:r w:rsidR="006757F1" w:rsidRPr="005A46FC">
        <w:rPr>
          <w:rFonts w:ascii="Times New Roman" w:hAnsi="Times New Roman"/>
          <w:sz w:val="24"/>
          <w:szCs w:val="24"/>
          <w:lang w:eastAsia="ru-RU"/>
        </w:rPr>
        <w:t>ую</w:t>
      </w:r>
      <w:r w:rsidRPr="005A46FC">
        <w:rPr>
          <w:rFonts w:ascii="Times New Roman" w:hAnsi="Times New Roman"/>
          <w:sz w:val="24"/>
          <w:szCs w:val="24"/>
          <w:lang w:eastAsia="ru-RU"/>
        </w:rPr>
        <w:t xml:space="preserve"> пред</w:t>
      </w:r>
      <w:r w:rsidR="006757F1" w:rsidRPr="005A46FC">
        <w:rPr>
          <w:rFonts w:ascii="Times New Roman" w:hAnsi="Times New Roman"/>
          <w:sz w:val="24"/>
          <w:szCs w:val="24"/>
          <w:lang w:eastAsia="ru-RU"/>
        </w:rPr>
        <w:t>варительную анти-VEGF терапию</w:t>
      </w:r>
      <w:r w:rsidRPr="005A46FC">
        <w:rPr>
          <w:rFonts w:ascii="Times New Roman" w:hAnsi="Times New Roman"/>
          <w:sz w:val="24"/>
          <w:szCs w:val="24"/>
          <w:lang w:eastAsia="ru-RU"/>
        </w:rPr>
        <w:t xml:space="preserve">. Целевые поражения, ранее леченные лучевой терапией или местно-регионарной терапией, должны были показать рентгенологические признаки прогрессирования заболевания. Пациенты с поражением </w:t>
      </w:r>
      <w:r w:rsidRPr="005A46FC">
        <w:rPr>
          <w:rFonts w:ascii="Times New Roman" w:hAnsi="Times New Roman"/>
          <w:sz w:val="24"/>
          <w:szCs w:val="24"/>
          <w:lang w:eastAsia="ru-RU"/>
        </w:rPr>
        <w:lastRenderedPageBreak/>
        <w:t>печени ≥50%, явной инвазией в желчный проток или основную ветвь воротной вены (Vp4) также были исключены.</w:t>
      </w:r>
    </w:p>
    <w:p w14:paraId="194B88EB"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Демографические характеристики и исходные характеристики заболевания были схожи между группами ленватиниба и сорафениба и показаны ниже для всех 954 рандомизированных пациентов:</w:t>
      </w:r>
    </w:p>
    <w:p w14:paraId="01D05BEB"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Средний возраст: 62 года.</w:t>
      </w:r>
    </w:p>
    <w:p w14:paraId="3162F0DB"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Мужчины: 84%</w:t>
      </w:r>
    </w:p>
    <w:p w14:paraId="3BBEDB07"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Белые: 29%, азиаты: 69%, негроидная раса или афроамериканцы: 1,4%</w:t>
      </w:r>
    </w:p>
    <w:p w14:paraId="23E56161"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Масса тела: &lt;60 кг -31%, 60-80 кг – 50%, &gt;80 кг – 19%</w:t>
      </w:r>
    </w:p>
    <w:p w14:paraId="31D584CE"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Статус эффективности Восточной кооперативной онкологической группы (ECOG PS) 0: 63%, ECOG PS 1: 37%</w:t>
      </w:r>
    </w:p>
    <w:p w14:paraId="6754A003"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Чайлд-Пью А: 99%, Чайлд-Пью Б: 1%</w:t>
      </w:r>
    </w:p>
    <w:p w14:paraId="348B7060"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Этиология: гепатит В (50%), гепатит С (23%), алкоголь (6%).</w:t>
      </w:r>
    </w:p>
    <w:p w14:paraId="6462F22F"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Отсутствие макроскопической инвазии воротной вены (MPVI): 79%</w:t>
      </w:r>
    </w:p>
    <w:p w14:paraId="42F1D0B6"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Отсутствие MPVI, внепеченочного распространения опухоли (EHS) или того и другого: 30%</w:t>
      </w:r>
    </w:p>
    <w:p w14:paraId="51E0B593"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Основной цирроз (с помощью независимого анализа изображений): 75%</w:t>
      </w:r>
    </w:p>
    <w:p w14:paraId="34A2B1FA"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Рак печени в Барселонской клинике (BCLC), стадия B: 20%; BCLC стадия C: 80%</w:t>
      </w:r>
    </w:p>
    <w:p w14:paraId="60929B09"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Предшествующее лечение: гепатэктомия (28%), лучевая терапия (11%), местно-регионарная терапия, включая трансартериальную (химио)эмболизацию (52%), радиочастотную абляцию (21%) и чрескожное введение этанола (4%).</w:t>
      </w:r>
    </w:p>
    <w:p w14:paraId="73529297" w14:textId="77777777" w:rsidR="00DB45F9"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Первичной конечной точкой эффективности была общая выживаемость (ОВ). Ленватиниб не уступал сорафенибу по ОВ с соотношением рисков = 0,92 [95% ДИ (0,79, 1,06)] и медианой ОВ 13,6 месяцев против 12,3 месяцев (см. таблицу 8 и рисунок 2). Результаты для суррогатных конечных точек (ВБП и Общая частота ответа) представлены в таблице 8 ниже.</w:t>
      </w:r>
    </w:p>
    <w:p w14:paraId="41CEA164" w14:textId="77777777" w:rsidR="005E5AC2" w:rsidRPr="005A46FC" w:rsidRDefault="005E5AC2" w:rsidP="009C1431">
      <w:pPr>
        <w:autoSpaceDE w:val="0"/>
        <w:autoSpaceDN w:val="0"/>
        <w:adjustRightInd w:val="0"/>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851"/>
        <w:gridCol w:w="1841"/>
        <w:gridCol w:w="1847"/>
        <w:gridCol w:w="1844"/>
      </w:tblGrid>
      <w:tr w:rsidR="006757F1" w:rsidRPr="005A46FC" w14:paraId="6F1E527F" w14:textId="77777777" w:rsidTr="003222B0">
        <w:tc>
          <w:tcPr>
            <w:tcW w:w="9287" w:type="dxa"/>
            <w:gridSpan w:val="5"/>
            <w:shd w:val="clear" w:color="auto" w:fill="auto"/>
          </w:tcPr>
          <w:p w14:paraId="2F1260F5" w14:textId="77777777" w:rsidR="006757F1" w:rsidRPr="005A46FC" w:rsidRDefault="006757F1"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Таблица 8</w:t>
            </w:r>
            <w:r w:rsidR="00837886" w:rsidRPr="005A46FC">
              <w:rPr>
                <w:rFonts w:ascii="Times New Roman" w:hAnsi="Times New Roman"/>
                <w:b/>
                <w:bCs/>
                <w:sz w:val="24"/>
                <w:szCs w:val="24"/>
                <w:lang w:eastAsia="ru-RU"/>
              </w:rPr>
              <w:t>.</w:t>
            </w:r>
            <w:r w:rsidRPr="005A46FC">
              <w:rPr>
                <w:rFonts w:ascii="Times New Roman" w:hAnsi="Times New Roman"/>
                <w:b/>
                <w:bCs/>
                <w:sz w:val="24"/>
                <w:szCs w:val="24"/>
                <w:lang w:eastAsia="ru-RU"/>
              </w:rPr>
              <w:t xml:space="preserve"> Результаты эффективности исследования REFLECT при ГЦ</w:t>
            </w:r>
            <w:r w:rsidR="00837886" w:rsidRPr="005A46FC">
              <w:rPr>
                <w:rFonts w:ascii="Times New Roman" w:hAnsi="Times New Roman"/>
                <w:b/>
                <w:bCs/>
                <w:sz w:val="24"/>
                <w:szCs w:val="24"/>
                <w:lang w:eastAsia="ru-RU"/>
              </w:rPr>
              <w:t>Р</w:t>
            </w:r>
          </w:p>
        </w:tc>
      </w:tr>
      <w:tr w:rsidR="00837886" w:rsidRPr="005A46FC" w14:paraId="573F2EA7" w14:textId="77777777" w:rsidTr="003222B0">
        <w:trPr>
          <w:trHeight w:val="377"/>
        </w:trPr>
        <w:tc>
          <w:tcPr>
            <w:tcW w:w="1904" w:type="dxa"/>
            <w:vMerge w:val="restart"/>
            <w:shd w:val="clear" w:color="auto" w:fill="auto"/>
          </w:tcPr>
          <w:p w14:paraId="794FB484"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Параметр эффективности</w:t>
            </w:r>
          </w:p>
        </w:tc>
        <w:tc>
          <w:tcPr>
            <w:tcW w:w="1851" w:type="dxa"/>
            <w:vMerge w:val="restart"/>
            <w:shd w:val="clear" w:color="auto" w:fill="auto"/>
          </w:tcPr>
          <w:p w14:paraId="01CD18D4"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vertAlign w:val="superscript"/>
                <w:lang w:val="en-US" w:eastAsia="ru-RU"/>
              </w:rPr>
            </w:pPr>
            <w:r w:rsidRPr="005A46FC">
              <w:rPr>
                <w:rFonts w:ascii="Times New Roman" w:hAnsi="Times New Roman"/>
                <w:b/>
                <w:bCs/>
                <w:sz w:val="24"/>
                <w:szCs w:val="24"/>
                <w:lang w:eastAsia="ru-RU"/>
              </w:rPr>
              <w:t>Соотношение рисков</w:t>
            </w:r>
            <w:r w:rsidRPr="005A46FC">
              <w:rPr>
                <w:rFonts w:ascii="Times New Roman" w:hAnsi="Times New Roman"/>
                <w:b/>
                <w:bCs/>
                <w:sz w:val="24"/>
                <w:szCs w:val="24"/>
                <w:vertAlign w:val="superscript"/>
                <w:lang w:val="en-US" w:eastAsia="ru-RU"/>
              </w:rPr>
              <w:t>a,b</w:t>
            </w:r>
          </w:p>
          <w:p w14:paraId="343E2DA5"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(95% ДИ)</w:t>
            </w:r>
          </w:p>
        </w:tc>
        <w:tc>
          <w:tcPr>
            <w:tcW w:w="1841" w:type="dxa"/>
            <w:vMerge w:val="restart"/>
            <w:shd w:val="clear" w:color="auto" w:fill="auto"/>
          </w:tcPr>
          <w:p w14:paraId="5069E85C"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Р-значение</w:t>
            </w:r>
            <w:r w:rsidRPr="005A46FC">
              <w:rPr>
                <w:rFonts w:ascii="Times New Roman" w:hAnsi="Times New Roman"/>
                <w:b/>
                <w:bCs/>
                <w:sz w:val="24"/>
                <w:szCs w:val="24"/>
                <w:vertAlign w:val="superscript"/>
                <w:lang w:val="en-US" w:eastAsia="ru-RU"/>
              </w:rPr>
              <w:t>d</w:t>
            </w:r>
          </w:p>
        </w:tc>
        <w:tc>
          <w:tcPr>
            <w:tcW w:w="3691" w:type="dxa"/>
            <w:gridSpan w:val="2"/>
            <w:shd w:val="clear" w:color="auto" w:fill="auto"/>
          </w:tcPr>
          <w:p w14:paraId="0A0404F7" w14:textId="77777777" w:rsidR="00837886" w:rsidRPr="005A46FC" w:rsidRDefault="004238C8" w:rsidP="003222B0">
            <w:pPr>
              <w:tabs>
                <w:tab w:val="left" w:pos="971"/>
              </w:tabs>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ab/>
              <w:t>Средняя (95% ДИ)</w:t>
            </w:r>
            <w:r w:rsidRPr="005A46FC">
              <w:rPr>
                <w:rFonts w:ascii="Times New Roman" w:hAnsi="Times New Roman"/>
                <w:b/>
                <w:bCs/>
                <w:sz w:val="24"/>
                <w:szCs w:val="24"/>
                <w:vertAlign w:val="superscript"/>
                <w:lang w:eastAsia="ru-RU"/>
              </w:rPr>
              <w:t>е</w:t>
            </w:r>
          </w:p>
        </w:tc>
      </w:tr>
      <w:tr w:rsidR="00837886" w:rsidRPr="005A46FC" w14:paraId="6A57F374" w14:textId="77777777" w:rsidTr="003222B0">
        <w:trPr>
          <w:trHeight w:val="376"/>
        </w:trPr>
        <w:tc>
          <w:tcPr>
            <w:tcW w:w="1904" w:type="dxa"/>
            <w:vMerge/>
            <w:shd w:val="clear" w:color="auto" w:fill="auto"/>
          </w:tcPr>
          <w:p w14:paraId="2DED9BFA"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p>
        </w:tc>
        <w:tc>
          <w:tcPr>
            <w:tcW w:w="1851" w:type="dxa"/>
            <w:vMerge/>
            <w:shd w:val="clear" w:color="auto" w:fill="auto"/>
          </w:tcPr>
          <w:p w14:paraId="0F85A176"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p>
        </w:tc>
        <w:tc>
          <w:tcPr>
            <w:tcW w:w="1841" w:type="dxa"/>
            <w:vMerge/>
            <w:shd w:val="clear" w:color="auto" w:fill="auto"/>
          </w:tcPr>
          <w:p w14:paraId="148FE4F7"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p>
        </w:tc>
        <w:tc>
          <w:tcPr>
            <w:tcW w:w="1847" w:type="dxa"/>
            <w:shd w:val="clear" w:color="auto" w:fill="auto"/>
          </w:tcPr>
          <w:p w14:paraId="6F4F9AF0"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 xml:space="preserve">Ленватиниб </w:t>
            </w:r>
          </w:p>
          <w:p w14:paraId="5BF7E6C4"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val="en-US" w:eastAsia="ru-RU"/>
              </w:rPr>
            </w:pPr>
            <w:r w:rsidRPr="005A46FC">
              <w:rPr>
                <w:rFonts w:ascii="Times New Roman" w:hAnsi="Times New Roman"/>
                <w:b/>
                <w:bCs/>
                <w:sz w:val="24"/>
                <w:szCs w:val="24"/>
                <w:lang w:val="en-US" w:eastAsia="ru-RU"/>
              </w:rPr>
              <w:t>(N = 478)</w:t>
            </w:r>
          </w:p>
        </w:tc>
        <w:tc>
          <w:tcPr>
            <w:tcW w:w="1844" w:type="dxa"/>
            <w:shd w:val="clear" w:color="auto" w:fill="auto"/>
          </w:tcPr>
          <w:p w14:paraId="505CD787"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 xml:space="preserve">Сорафениб </w:t>
            </w:r>
          </w:p>
          <w:p w14:paraId="14C52638"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w:t>
            </w:r>
            <w:r w:rsidRPr="005A46FC">
              <w:rPr>
                <w:rFonts w:ascii="Times New Roman" w:hAnsi="Times New Roman"/>
                <w:b/>
                <w:bCs/>
                <w:sz w:val="24"/>
                <w:szCs w:val="24"/>
                <w:lang w:val="en-US" w:eastAsia="ru-RU"/>
              </w:rPr>
              <w:t>N = 476</w:t>
            </w:r>
            <w:r w:rsidRPr="005A46FC">
              <w:rPr>
                <w:rFonts w:ascii="Times New Roman" w:hAnsi="Times New Roman"/>
                <w:b/>
                <w:bCs/>
                <w:sz w:val="24"/>
                <w:szCs w:val="24"/>
                <w:lang w:eastAsia="ru-RU"/>
              </w:rPr>
              <w:t>)</w:t>
            </w:r>
          </w:p>
        </w:tc>
      </w:tr>
      <w:tr w:rsidR="006757F1" w:rsidRPr="005A46FC" w14:paraId="37FDB5DE" w14:textId="77777777" w:rsidTr="003222B0">
        <w:tc>
          <w:tcPr>
            <w:tcW w:w="1904" w:type="dxa"/>
            <w:shd w:val="clear" w:color="auto" w:fill="auto"/>
          </w:tcPr>
          <w:p w14:paraId="4B23A36C" w14:textId="77777777" w:rsidR="006757F1" w:rsidRPr="005A46FC" w:rsidRDefault="00837886"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Общая выживаемость</w:t>
            </w:r>
          </w:p>
        </w:tc>
        <w:tc>
          <w:tcPr>
            <w:tcW w:w="1851" w:type="dxa"/>
            <w:shd w:val="clear" w:color="auto" w:fill="auto"/>
          </w:tcPr>
          <w:p w14:paraId="314150DC" w14:textId="77777777" w:rsidR="006757F1" w:rsidRPr="005A46FC" w:rsidRDefault="00837886"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0.92 (0.79,1.06)</w:t>
            </w:r>
          </w:p>
        </w:tc>
        <w:tc>
          <w:tcPr>
            <w:tcW w:w="1841" w:type="dxa"/>
            <w:shd w:val="clear" w:color="auto" w:fill="auto"/>
          </w:tcPr>
          <w:p w14:paraId="31C7CD9B"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Не достигнуто</w:t>
            </w:r>
          </w:p>
        </w:tc>
        <w:tc>
          <w:tcPr>
            <w:tcW w:w="1847" w:type="dxa"/>
            <w:shd w:val="clear" w:color="auto" w:fill="auto"/>
          </w:tcPr>
          <w:p w14:paraId="59278A4D"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13.6 (12.1, 14.9)</w:t>
            </w:r>
          </w:p>
        </w:tc>
        <w:tc>
          <w:tcPr>
            <w:tcW w:w="1844" w:type="dxa"/>
            <w:shd w:val="clear" w:color="auto" w:fill="auto"/>
          </w:tcPr>
          <w:p w14:paraId="5CF18164"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12.3 (10.4, 13.9)</w:t>
            </w:r>
          </w:p>
        </w:tc>
      </w:tr>
      <w:tr w:rsidR="006757F1" w:rsidRPr="005A46FC" w14:paraId="6D6E7D01" w14:textId="77777777" w:rsidTr="003222B0">
        <w:tc>
          <w:tcPr>
            <w:tcW w:w="1904" w:type="dxa"/>
            <w:shd w:val="clear" w:color="auto" w:fill="auto"/>
          </w:tcPr>
          <w:p w14:paraId="1B36C5A4" w14:textId="77777777" w:rsidR="006757F1" w:rsidRPr="005A46FC" w:rsidRDefault="00837886"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ВБП</w:t>
            </w:r>
            <w:r w:rsidRPr="005A46FC">
              <w:rPr>
                <w:rFonts w:ascii="Times New Roman" w:hAnsi="Times New Roman"/>
                <w:sz w:val="24"/>
                <w:szCs w:val="24"/>
                <w:vertAlign w:val="superscript"/>
                <w:lang w:val="en-US" w:eastAsia="ru-RU"/>
              </w:rPr>
              <w:t>g</w:t>
            </w:r>
            <w:r w:rsidRPr="005A46FC">
              <w:rPr>
                <w:rFonts w:ascii="Times New Roman" w:hAnsi="Times New Roman"/>
                <w:sz w:val="24"/>
                <w:szCs w:val="24"/>
                <w:lang w:val="en-US" w:eastAsia="ru-RU"/>
              </w:rPr>
              <w:t xml:space="preserve"> (mRECIST)</w:t>
            </w:r>
          </w:p>
        </w:tc>
        <w:tc>
          <w:tcPr>
            <w:tcW w:w="1851" w:type="dxa"/>
            <w:shd w:val="clear" w:color="auto" w:fill="auto"/>
          </w:tcPr>
          <w:p w14:paraId="1F48DCB4"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0.64 (0.55, 0.75)</w:t>
            </w:r>
          </w:p>
        </w:tc>
        <w:tc>
          <w:tcPr>
            <w:tcW w:w="1841" w:type="dxa"/>
            <w:shd w:val="clear" w:color="auto" w:fill="auto"/>
          </w:tcPr>
          <w:p w14:paraId="49479ABD"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&lt;0.00001</w:t>
            </w:r>
          </w:p>
        </w:tc>
        <w:tc>
          <w:tcPr>
            <w:tcW w:w="1847" w:type="dxa"/>
            <w:shd w:val="clear" w:color="auto" w:fill="auto"/>
          </w:tcPr>
          <w:p w14:paraId="5B082B16"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7.3 (5.6, 7.5)</w:t>
            </w:r>
          </w:p>
        </w:tc>
        <w:tc>
          <w:tcPr>
            <w:tcW w:w="1844" w:type="dxa"/>
            <w:shd w:val="clear" w:color="auto" w:fill="auto"/>
          </w:tcPr>
          <w:p w14:paraId="6369D071"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3.6 (3.6, 3.7)</w:t>
            </w:r>
          </w:p>
        </w:tc>
      </w:tr>
      <w:tr w:rsidR="004238C8" w:rsidRPr="005A46FC" w14:paraId="554DA8FC" w14:textId="77777777" w:rsidTr="003222B0">
        <w:tc>
          <w:tcPr>
            <w:tcW w:w="1904" w:type="dxa"/>
            <w:shd w:val="clear" w:color="auto" w:fill="auto"/>
          </w:tcPr>
          <w:p w14:paraId="42BE762A" w14:textId="77777777" w:rsidR="004238C8"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p>
        </w:tc>
        <w:tc>
          <w:tcPr>
            <w:tcW w:w="1851" w:type="dxa"/>
            <w:shd w:val="clear" w:color="auto" w:fill="auto"/>
          </w:tcPr>
          <w:p w14:paraId="1FC80B31" w14:textId="77777777" w:rsidR="004238C8"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p>
        </w:tc>
        <w:tc>
          <w:tcPr>
            <w:tcW w:w="1841" w:type="dxa"/>
            <w:shd w:val="clear" w:color="auto" w:fill="auto"/>
          </w:tcPr>
          <w:p w14:paraId="586219C9" w14:textId="77777777" w:rsidR="004238C8"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p>
        </w:tc>
        <w:tc>
          <w:tcPr>
            <w:tcW w:w="3691" w:type="dxa"/>
            <w:gridSpan w:val="2"/>
            <w:shd w:val="clear" w:color="auto" w:fill="auto"/>
          </w:tcPr>
          <w:p w14:paraId="46841CB2" w14:textId="77777777" w:rsidR="004238C8"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Процентаж (95% ДИ)</w:t>
            </w:r>
          </w:p>
        </w:tc>
      </w:tr>
      <w:tr w:rsidR="006757F1" w:rsidRPr="005A46FC" w14:paraId="1B2BF33B" w14:textId="77777777" w:rsidTr="003222B0">
        <w:tc>
          <w:tcPr>
            <w:tcW w:w="1904" w:type="dxa"/>
            <w:shd w:val="clear" w:color="auto" w:fill="auto"/>
          </w:tcPr>
          <w:p w14:paraId="1F58C0F6" w14:textId="77777777" w:rsidR="006757F1" w:rsidRPr="005A46FC" w:rsidRDefault="00837886"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Частота общего ответа</w:t>
            </w:r>
            <w:r w:rsidRPr="005A46FC">
              <w:rPr>
                <w:rFonts w:ascii="Times New Roman" w:hAnsi="Times New Roman"/>
                <w:sz w:val="24"/>
                <w:szCs w:val="24"/>
                <w:vertAlign w:val="superscript"/>
                <w:lang w:val="en-US" w:eastAsia="ru-RU"/>
              </w:rPr>
              <w:t>c</w:t>
            </w:r>
            <w:r w:rsidRPr="005A46FC">
              <w:rPr>
                <w:rFonts w:ascii="Times New Roman" w:hAnsi="Times New Roman"/>
                <w:sz w:val="24"/>
                <w:szCs w:val="24"/>
                <w:vertAlign w:val="superscript"/>
                <w:lang w:eastAsia="ru-RU"/>
              </w:rPr>
              <w:t xml:space="preserve">,f,g </w:t>
            </w:r>
            <w:r w:rsidRPr="005A46FC">
              <w:rPr>
                <w:rFonts w:ascii="Times New Roman" w:hAnsi="Times New Roman"/>
                <w:sz w:val="24"/>
                <w:szCs w:val="24"/>
                <w:lang w:eastAsia="ru-RU"/>
              </w:rPr>
              <w:t>(</w:t>
            </w:r>
            <w:r w:rsidRPr="005A46FC">
              <w:rPr>
                <w:rFonts w:ascii="Times New Roman" w:hAnsi="Times New Roman"/>
                <w:sz w:val="24"/>
                <w:szCs w:val="24"/>
                <w:lang w:val="en-US" w:eastAsia="ru-RU"/>
              </w:rPr>
              <w:t>mRECIST</w:t>
            </w:r>
            <w:r w:rsidRPr="005A46FC">
              <w:rPr>
                <w:rFonts w:ascii="Times New Roman" w:hAnsi="Times New Roman"/>
                <w:sz w:val="24"/>
                <w:szCs w:val="24"/>
                <w:lang w:eastAsia="ru-RU"/>
              </w:rPr>
              <w:t>)</w:t>
            </w:r>
          </w:p>
        </w:tc>
        <w:tc>
          <w:tcPr>
            <w:tcW w:w="1851" w:type="dxa"/>
            <w:shd w:val="clear" w:color="auto" w:fill="auto"/>
          </w:tcPr>
          <w:p w14:paraId="2AEF690C"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Не достигнуто</w:t>
            </w:r>
          </w:p>
        </w:tc>
        <w:tc>
          <w:tcPr>
            <w:tcW w:w="1841" w:type="dxa"/>
            <w:shd w:val="clear" w:color="auto" w:fill="auto"/>
          </w:tcPr>
          <w:p w14:paraId="3D9DB65E"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&lt;0.00001</w:t>
            </w:r>
          </w:p>
        </w:tc>
        <w:tc>
          <w:tcPr>
            <w:tcW w:w="1847" w:type="dxa"/>
            <w:shd w:val="clear" w:color="auto" w:fill="auto"/>
          </w:tcPr>
          <w:p w14:paraId="666A1926"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41% (36%, 45%)</w:t>
            </w:r>
          </w:p>
        </w:tc>
        <w:tc>
          <w:tcPr>
            <w:tcW w:w="1844" w:type="dxa"/>
            <w:shd w:val="clear" w:color="auto" w:fill="auto"/>
          </w:tcPr>
          <w:p w14:paraId="0F53C151"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12% (9%, 15%)</w:t>
            </w:r>
          </w:p>
        </w:tc>
      </w:tr>
      <w:tr w:rsidR="00837886" w:rsidRPr="005A46FC" w14:paraId="79CC40F6" w14:textId="77777777" w:rsidTr="003222B0">
        <w:tc>
          <w:tcPr>
            <w:tcW w:w="9287" w:type="dxa"/>
            <w:gridSpan w:val="5"/>
            <w:shd w:val="clear" w:color="auto" w:fill="auto"/>
          </w:tcPr>
          <w:p w14:paraId="001ED7C2"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eastAsia="ru-RU"/>
              </w:rPr>
              <w:t>Дата окончания сбора данных: 13 ноября 2016 г.</w:t>
            </w:r>
          </w:p>
          <w:p w14:paraId="3A47DF3B"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eastAsia="ru-RU"/>
              </w:rPr>
              <w:t>а. Отношение рисков для ленватиниба по сравнению с сорафенибом основано на модели Кокса, включающей группу лечения в качестве фактора.</w:t>
            </w:r>
          </w:p>
          <w:p w14:paraId="724BA549"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en-US" w:eastAsia="ru-RU"/>
              </w:rPr>
              <w:t>b</w:t>
            </w:r>
            <w:r w:rsidRPr="005A46FC">
              <w:rPr>
                <w:rFonts w:ascii="Times New Roman" w:hAnsi="Times New Roman"/>
                <w:sz w:val="20"/>
                <w:szCs w:val="20"/>
                <w:lang w:eastAsia="ru-RU"/>
              </w:rPr>
              <w:t>. Стратификация по регионам (регион 1: Азиатско-Тихоокеанский регион; регион 2: запад), макроскопическая инвазия воротной вены или внепеченочное распространение или и то, и другое (да, нет), ECOG PS (0, 1) и масса тела (&lt;60 кг, ≥60 кг).</w:t>
            </w:r>
          </w:p>
          <w:p w14:paraId="5B10DB5A"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en-US" w:eastAsia="ru-RU"/>
              </w:rPr>
              <w:t>c</w:t>
            </w:r>
            <w:r w:rsidRPr="005A46FC">
              <w:rPr>
                <w:rFonts w:ascii="Times New Roman" w:hAnsi="Times New Roman"/>
                <w:sz w:val="20"/>
                <w:szCs w:val="20"/>
                <w:lang w:eastAsia="ru-RU"/>
              </w:rPr>
              <w:t>. Результаты основаны на подтвержденных и неподтвержденных ответах.</w:t>
            </w:r>
          </w:p>
          <w:p w14:paraId="30BBF306"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en-US" w:eastAsia="ru-RU"/>
              </w:rPr>
              <w:t>d</w:t>
            </w:r>
            <w:r w:rsidRPr="005A46FC">
              <w:rPr>
                <w:rFonts w:ascii="Times New Roman" w:hAnsi="Times New Roman"/>
                <w:sz w:val="20"/>
                <w:szCs w:val="20"/>
                <w:lang w:eastAsia="ru-RU"/>
              </w:rPr>
              <w:t>. P-Значение для теста преимущества ленватиниба по сравнению с сорафенибом.</w:t>
            </w:r>
          </w:p>
          <w:p w14:paraId="3566F32A"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en-US" w:eastAsia="ru-RU"/>
              </w:rPr>
              <w:t>e</w:t>
            </w:r>
            <w:r w:rsidRPr="005A46FC">
              <w:rPr>
                <w:rFonts w:ascii="Times New Roman" w:hAnsi="Times New Roman"/>
                <w:sz w:val="20"/>
                <w:szCs w:val="20"/>
                <w:lang w:eastAsia="ru-RU"/>
              </w:rPr>
              <w:t>. Квартили оцениваются по методу Каплана-Мейера, а 95% ДИ оцениваются по обобщенному методу Брукмейера и Кроули.</w:t>
            </w:r>
          </w:p>
          <w:p w14:paraId="498B5EC2"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en-US" w:eastAsia="ru-RU"/>
              </w:rPr>
              <w:t>f</w:t>
            </w:r>
            <w:r w:rsidRPr="005A46FC">
              <w:rPr>
                <w:rFonts w:ascii="Times New Roman" w:hAnsi="Times New Roman"/>
                <w:sz w:val="20"/>
                <w:szCs w:val="20"/>
                <w:lang w:eastAsia="ru-RU"/>
              </w:rPr>
              <w:t>. Частота ответов (полный или частичный ответ)</w:t>
            </w:r>
          </w:p>
          <w:p w14:paraId="02BF23C7" w14:textId="77777777" w:rsidR="00837886"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en-US" w:eastAsia="ru-RU"/>
              </w:rPr>
              <w:t>g</w:t>
            </w:r>
            <w:r w:rsidRPr="005A46FC">
              <w:rPr>
                <w:rFonts w:ascii="Times New Roman" w:hAnsi="Times New Roman"/>
                <w:sz w:val="20"/>
                <w:szCs w:val="20"/>
                <w:lang w:eastAsia="ru-RU"/>
              </w:rPr>
              <w:t>. Согласно ретроспективному анализу независимого радиологического обзора. Медиана продолжительности объективного ответа составила 7,3 (95% ДИ 5,6, 7,4) месяцев в группе ленватиниба и 6,2 (95% ДИ 3,7, 11,2) месяца в группе сорафениба.</w:t>
            </w:r>
          </w:p>
        </w:tc>
      </w:tr>
    </w:tbl>
    <w:p w14:paraId="2BE51C00" w14:textId="77777777" w:rsidR="00302B54" w:rsidRPr="005A46FC" w:rsidRDefault="00302B54" w:rsidP="009C1431">
      <w:pPr>
        <w:autoSpaceDE w:val="0"/>
        <w:autoSpaceDN w:val="0"/>
        <w:adjustRightInd w:val="0"/>
        <w:spacing w:after="0" w:line="240" w:lineRule="auto"/>
        <w:jc w:val="both"/>
        <w:rPr>
          <w:rFonts w:ascii="Times New Roman" w:hAnsi="Times New Roman"/>
          <w:sz w:val="24"/>
          <w:szCs w:val="24"/>
          <w:lang w:eastAsia="ru-RU"/>
        </w:rPr>
      </w:pPr>
    </w:p>
    <w:p w14:paraId="0F6FF582" w14:textId="77777777" w:rsidR="008063A2" w:rsidRPr="005A46FC" w:rsidRDefault="008063A2" w:rsidP="009C1431">
      <w:pPr>
        <w:autoSpaceDE w:val="0"/>
        <w:autoSpaceDN w:val="0"/>
        <w:adjustRightInd w:val="0"/>
        <w:spacing w:after="0" w:line="240" w:lineRule="auto"/>
        <w:jc w:val="both"/>
        <w:rPr>
          <w:rFonts w:ascii="Times New Roman" w:hAnsi="Times New Roman"/>
          <w:sz w:val="24"/>
          <w:szCs w:val="24"/>
          <w:lang w:eastAsia="ru-RU"/>
        </w:rPr>
      </w:pPr>
    </w:p>
    <w:p w14:paraId="552A36F8" w14:textId="77777777" w:rsidR="00302B54" w:rsidRPr="005A46FC" w:rsidRDefault="00302B54" w:rsidP="009C1431">
      <w:pPr>
        <w:autoSpaceDE w:val="0"/>
        <w:autoSpaceDN w:val="0"/>
        <w:adjustRightInd w:val="0"/>
        <w:spacing w:after="0" w:line="240" w:lineRule="auto"/>
        <w:jc w:val="both"/>
        <w:rPr>
          <w:rFonts w:ascii="Times New Roman" w:hAnsi="Times New Roman"/>
          <w:sz w:val="24"/>
          <w:szCs w:val="24"/>
          <w:lang w:eastAsia="ru-RU"/>
        </w:rPr>
      </w:pPr>
    </w:p>
    <w:p w14:paraId="4F8BB184" w14:textId="77777777" w:rsidR="00F81D8A" w:rsidRPr="005A46FC" w:rsidRDefault="00F81D8A" w:rsidP="009C1431">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Рисунок 2. Кривая Каплана-Мейера общей выживаемости - ГЦР</w:t>
      </w:r>
    </w:p>
    <w:p w14:paraId="3D260499" w14:textId="77777777" w:rsidR="00F81D8A" w:rsidRPr="005A46FC" w:rsidRDefault="00F81D8A" w:rsidP="009C1431">
      <w:pPr>
        <w:autoSpaceDE w:val="0"/>
        <w:autoSpaceDN w:val="0"/>
        <w:adjustRightInd w:val="0"/>
        <w:spacing w:after="0" w:line="240" w:lineRule="auto"/>
        <w:jc w:val="both"/>
        <w:rPr>
          <w:rFonts w:ascii="Times New Roman" w:hAnsi="Times New Roman"/>
          <w:sz w:val="24"/>
          <w:szCs w:val="24"/>
          <w:lang w:eastAsia="ru-RU"/>
        </w:rPr>
      </w:pPr>
    </w:p>
    <w:p w14:paraId="768B2DC8" w14:textId="77777777" w:rsidR="00077A41" w:rsidRPr="005A46FC" w:rsidRDefault="000B2474"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1180DA0B" wp14:editId="17398661">
                <wp:simplePos x="0" y="0"/>
                <wp:positionH relativeFrom="column">
                  <wp:posOffset>-161925</wp:posOffset>
                </wp:positionH>
                <wp:positionV relativeFrom="paragraph">
                  <wp:posOffset>340995</wp:posOffset>
                </wp:positionV>
                <wp:extent cx="175895" cy="146240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2405"/>
                        </a:xfrm>
                        <a:prstGeom prst="rect">
                          <a:avLst/>
                        </a:prstGeom>
                        <a:solidFill>
                          <a:srgbClr val="FFFFFF"/>
                        </a:solidFill>
                        <a:ln>
                          <a:noFill/>
                        </a:ln>
                      </wps:spPr>
                      <wps:txbx>
                        <w:txbxContent>
                          <w:p w14:paraId="69772250" w14:textId="77777777" w:rsidR="00F81D8A" w:rsidRPr="00842576" w:rsidRDefault="00F81D8A" w:rsidP="00F81D8A">
                            <w:pPr>
                              <w:jc w:val="center"/>
                              <w:rPr>
                                <w:rFonts w:ascii="Times New Roman" w:hAnsi="Times New Roman"/>
                                <w:b/>
                                <w:sz w:val="20"/>
                                <w:szCs w:val="32"/>
                              </w:rPr>
                            </w:pPr>
                            <w:r w:rsidRPr="00842576">
                              <w:rPr>
                                <w:rFonts w:ascii="Times New Roman" w:hAnsi="Times New Roman"/>
                                <w:b/>
                                <w:sz w:val="20"/>
                                <w:szCs w:val="32"/>
                              </w:rPr>
                              <w:t>Вероятность</w:t>
                            </w:r>
                            <w:r>
                              <w:rPr>
                                <w:rFonts w:ascii="Times New Roman" w:hAnsi="Times New Roman"/>
                                <w:b/>
                                <w:sz w:val="20"/>
                                <w:szCs w:val="32"/>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0DA0B" id="_x0000_s1028" type="#_x0000_t202" style="position:absolute;left:0;text-align:left;margin-left:-12.75pt;margin-top:26.85pt;width:13.85pt;height:1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" stroked="f">
                <v:textbox style="layout-flow:vertical;mso-layout-flow-alt:bottom-to-top" inset="0,0,0,0">
                  <w:txbxContent>
                    <w:p w14:paraId="69772250" w14:textId="77777777" w:rsidR="00F81D8A" w:rsidRPr="00842576" w:rsidRDefault="00F81D8A" w:rsidP="00F81D8A">
                      <w:pPr>
                        <w:jc w:val="center"/>
                        <w:rPr>
                          <w:rFonts w:ascii="Times New Roman" w:hAnsi="Times New Roman"/>
                          <w:b/>
                          <w:sz w:val="20"/>
                          <w:szCs w:val="32"/>
                        </w:rPr>
                      </w:pPr>
                      <w:r w:rsidRPr="00842576">
                        <w:rPr>
                          <w:rFonts w:ascii="Times New Roman" w:hAnsi="Times New Roman"/>
                          <w:b/>
                          <w:sz w:val="20"/>
                          <w:szCs w:val="32"/>
                        </w:rPr>
                        <w:t>Вероятность</w:t>
                      </w:r>
                      <w:r>
                        <w:rPr>
                          <w:rFonts w:ascii="Times New Roman" w:hAnsi="Times New Roman"/>
                          <w:b/>
                          <w:sz w:val="20"/>
                          <w:szCs w:val="32"/>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2096" behindDoc="0" locked="0" layoutInCell="1" allowOverlap="1" wp14:anchorId="14E4FB6D" wp14:editId="2F8E4350">
                <wp:simplePos x="0" y="0"/>
                <wp:positionH relativeFrom="column">
                  <wp:posOffset>4627245</wp:posOffset>
                </wp:positionH>
                <wp:positionV relativeFrom="paragraph">
                  <wp:posOffset>78740</wp:posOffset>
                </wp:positionV>
                <wp:extent cx="1718945" cy="8572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857250"/>
                        </a:xfrm>
                        <a:prstGeom prst="rect">
                          <a:avLst/>
                        </a:prstGeom>
                        <a:solidFill>
                          <a:srgbClr val="FFFFFF"/>
                        </a:solidFill>
                        <a:ln>
                          <a:noFill/>
                        </a:ln>
                      </wps:spPr>
                      <wps:txbx>
                        <w:txbxContent>
                          <w:p w14:paraId="47A1F14A" w14:textId="77777777" w:rsidR="00077A41" w:rsidRPr="00492564" w:rsidRDefault="00077A41" w:rsidP="00077A41">
                            <w:pPr>
                              <w:spacing w:after="0" w:line="240" w:lineRule="auto"/>
                              <w:rPr>
                                <w:rFonts w:ascii="Times New Roman" w:hAnsi="Times New Roman"/>
                                <w:b/>
                                <w:bCs/>
                                <w:sz w:val="14"/>
                              </w:rPr>
                            </w:pPr>
                            <w:r w:rsidRPr="00492564">
                              <w:rPr>
                                <w:rFonts w:ascii="Times New Roman" w:hAnsi="Times New Roman"/>
                                <w:b/>
                                <w:bCs/>
                                <w:sz w:val="14"/>
                              </w:rPr>
                              <w:t>Медиана (месяцы) (95% ДИ)</w:t>
                            </w:r>
                          </w:p>
                          <w:p w14:paraId="2AB2921B" w14:textId="77777777" w:rsidR="00077A41" w:rsidRPr="00492564" w:rsidRDefault="00077A41" w:rsidP="00077A41">
                            <w:pPr>
                              <w:spacing w:after="0" w:line="240" w:lineRule="auto"/>
                              <w:rPr>
                                <w:rFonts w:ascii="Times New Roman" w:hAnsi="Times New Roman"/>
                                <w:color w:val="0070C0"/>
                                <w:sz w:val="14"/>
                              </w:rPr>
                            </w:pPr>
                            <w:r w:rsidRPr="00492564">
                              <w:rPr>
                                <w:rFonts w:ascii="Times New Roman" w:hAnsi="Times New Roman"/>
                                <w:color w:val="0070C0"/>
                                <w:sz w:val="14"/>
                              </w:rPr>
                              <w:t>Ленватиниб</w:t>
                            </w:r>
                            <w:r>
                              <w:rPr>
                                <w:rFonts w:ascii="Times New Roman" w:hAnsi="Times New Roman"/>
                                <w:color w:val="0070C0"/>
                                <w:sz w:val="14"/>
                              </w:rPr>
                              <w:t>:</w:t>
                            </w:r>
                            <w:r w:rsidRPr="00492564">
                              <w:rPr>
                                <w:rFonts w:ascii="Times New Roman" w:hAnsi="Times New Roman"/>
                                <w:color w:val="0070C0"/>
                                <w:sz w:val="14"/>
                              </w:rPr>
                              <w:t xml:space="preserve"> 16.3 (1</w:t>
                            </w:r>
                            <w:r w:rsidRPr="00077A41">
                              <w:rPr>
                                <w:rFonts w:ascii="Times New Roman" w:hAnsi="Times New Roman"/>
                                <w:color w:val="0070C0"/>
                                <w:sz w:val="14"/>
                              </w:rPr>
                              <w:t>2</w:t>
                            </w:r>
                            <w:r w:rsidRPr="00492564">
                              <w:rPr>
                                <w:rFonts w:ascii="Times New Roman" w:hAnsi="Times New Roman"/>
                                <w:color w:val="0070C0"/>
                                <w:sz w:val="14"/>
                              </w:rPr>
                              <w:t xml:space="preserve">.1, </w:t>
                            </w:r>
                            <w:r w:rsidRPr="00077A41">
                              <w:rPr>
                                <w:rFonts w:ascii="Times New Roman" w:hAnsi="Times New Roman"/>
                                <w:color w:val="0070C0"/>
                                <w:sz w:val="14"/>
                              </w:rPr>
                              <w:t>14.9</w:t>
                            </w:r>
                            <w:r w:rsidRPr="00492564">
                              <w:rPr>
                                <w:rFonts w:ascii="Times New Roman" w:hAnsi="Times New Roman"/>
                                <w:color w:val="0070C0"/>
                                <w:sz w:val="14"/>
                              </w:rPr>
                              <w:t>)</w:t>
                            </w:r>
                          </w:p>
                          <w:p w14:paraId="1F9BD0B4" w14:textId="77777777" w:rsidR="00077A41" w:rsidRDefault="00077A41" w:rsidP="00077A41">
                            <w:pPr>
                              <w:spacing w:after="0" w:line="240" w:lineRule="auto"/>
                              <w:rPr>
                                <w:rFonts w:ascii="Times New Roman" w:hAnsi="Times New Roman"/>
                                <w:color w:val="FF0000"/>
                                <w:sz w:val="14"/>
                              </w:rPr>
                            </w:pPr>
                            <w:r w:rsidRPr="00077A41">
                              <w:rPr>
                                <w:rFonts w:ascii="Times New Roman" w:hAnsi="Times New Roman"/>
                                <w:color w:val="FF0000"/>
                                <w:sz w:val="14"/>
                              </w:rPr>
                              <w:t>Сорафениб: 12.3 (10.4, 13.9)</w:t>
                            </w:r>
                          </w:p>
                          <w:p w14:paraId="37A25A64" w14:textId="77777777" w:rsidR="00077A41" w:rsidRPr="00077A41" w:rsidRDefault="00077A41" w:rsidP="00077A41">
                            <w:pPr>
                              <w:spacing w:after="0" w:line="240" w:lineRule="auto"/>
                              <w:rPr>
                                <w:rFonts w:ascii="Times New Roman" w:hAnsi="Times New Roman"/>
                                <w:color w:val="FF0000"/>
                                <w:sz w:val="14"/>
                              </w:rPr>
                            </w:pPr>
                          </w:p>
                          <w:p w14:paraId="6A726F5D" w14:textId="77777777" w:rsidR="00077A41" w:rsidRDefault="00077A41" w:rsidP="00077A41">
                            <w:pPr>
                              <w:spacing w:after="0" w:line="240" w:lineRule="auto"/>
                              <w:rPr>
                                <w:rFonts w:ascii="Times New Roman" w:hAnsi="Times New Roman"/>
                                <w:sz w:val="14"/>
                              </w:rPr>
                            </w:pPr>
                            <w:r>
                              <w:rPr>
                                <w:rFonts w:ascii="Times New Roman" w:hAnsi="Times New Roman"/>
                                <w:sz w:val="14"/>
                              </w:rPr>
                              <w:t>Соотношение рисков (99% ДИ): 0.92 (0.79, 1.06)</w:t>
                            </w:r>
                          </w:p>
                          <w:p w14:paraId="4327361A" w14:textId="77777777" w:rsidR="00077A41" w:rsidRPr="00492564" w:rsidRDefault="00077A41" w:rsidP="00077A41">
                            <w:pPr>
                              <w:spacing w:after="0" w:line="240" w:lineRule="auto"/>
                              <w:rPr>
                                <w:rFonts w:ascii="Times New Roman" w:hAnsi="Times New Roman"/>
                                <w:sz w:val="14"/>
                              </w:rPr>
                            </w:pPr>
                          </w:p>
                          <w:p w14:paraId="52534BD3" w14:textId="77777777" w:rsidR="00077A41" w:rsidRPr="00492564" w:rsidRDefault="00077A41" w:rsidP="00077A41">
                            <w:pPr>
                              <w:spacing w:after="0" w:line="240" w:lineRule="auto"/>
                              <w:rPr>
                                <w:rFonts w:ascii="Times New Roman" w:hAnsi="Times New Roman"/>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4FB6D" id="_x0000_s1029" type="#_x0000_t202" style="position:absolute;left:0;text-align:left;margin-left:364.35pt;margin-top:6.2pt;width:135.35pt;height: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" stroked="f">
                <v:textbox inset="0,0,0,0">
                  <w:txbxContent>
                    <w:p w14:paraId="47A1F14A" w14:textId="77777777" w:rsidR="00077A41" w:rsidRPr="00492564" w:rsidRDefault="00077A41" w:rsidP="00077A41">
                      <w:pPr>
                        <w:spacing w:after="0" w:line="240" w:lineRule="auto"/>
                        <w:rPr>
                          <w:rFonts w:ascii="Times New Roman" w:hAnsi="Times New Roman"/>
                          <w:b/>
                          <w:bCs/>
                          <w:sz w:val="14"/>
                        </w:rPr>
                      </w:pPr>
                      <w:r w:rsidRPr="00492564">
                        <w:rPr>
                          <w:rFonts w:ascii="Times New Roman" w:hAnsi="Times New Roman"/>
                          <w:b/>
                          <w:bCs/>
                          <w:sz w:val="14"/>
                        </w:rPr>
                        <w:t>Медиана (месяцы) (95% ДИ)</w:t>
                      </w:r>
                    </w:p>
                    <w:p w14:paraId="2AB2921B" w14:textId="77777777" w:rsidR="00077A41" w:rsidRPr="00492564" w:rsidRDefault="00077A41" w:rsidP="00077A41">
                      <w:pPr>
                        <w:spacing w:after="0" w:line="240" w:lineRule="auto"/>
                        <w:rPr>
                          <w:rFonts w:ascii="Times New Roman" w:hAnsi="Times New Roman"/>
                          <w:color w:val="0070C0"/>
                          <w:sz w:val="14"/>
                        </w:rPr>
                      </w:pPr>
                      <w:r w:rsidRPr="00492564">
                        <w:rPr>
                          <w:rFonts w:ascii="Times New Roman" w:hAnsi="Times New Roman"/>
                          <w:color w:val="0070C0"/>
                          <w:sz w:val="14"/>
                        </w:rPr>
                        <w:t>Ленватиниб</w:t>
                      </w:r>
                      <w:r>
                        <w:rPr>
                          <w:rFonts w:ascii="Times New Roman" w:hAnsi="Times New Roman"/>
                          <w:color w:val="0070C0"/>
                          <w:sz w:val="14"/>
                        </w:rPr>
                        <w:t>:</w:t>
                      </w:r>
                      <w:r w:rsidRPr="00492564">
                        <w:rPr>
                          <w:rFonts w:ascii="Times New Roman" w:hAnsi="Times New Roman"/>
                          <w:color w:val="0070C0"/>
                          <w:sz w:val="14"/>
                        </w:rPr>
                        <w:t xml:space="preserve"> 16.3 (1</w:t>
                      </w:r>
                      <w:r w:rsidRPr="00077A41">
                        <w:rPr>
                          <w:rFonts w:ascii="Times New Roman" w:hAnsi="Times New Roman"/>
                          <w:color w:val="0070C0"/>
                          <w:sz w:val="14"/>
                        </w:rPr>
                        <w:t>2</w:t>
                      </w:r>
                      <w:r w:rsidRPr="00492564">
                        <w:rPr>
                          <w:rFonts w:ascii="Times New Roman" w:hAnsi="Times New Roman"/>
                          <w:color w:val="0070C0"/>
                          <w:sz w:val="14"/>
                        </w:rPr>
                        <w:t xml:space="preserve">.1, </w:t>
                      </w:r>
                      <w:r w:rsidRPr="00077A41">
                        <w:rPr>
                          <w:rFonts w:ascii="Times New Roman" w:hAnsi="Times New Roman"/>
                          <w:color w:val="0070C0"/>
                          <w:sz w:val="14"/>
                        </w:rPr>
                        <w:t>14.9</w:t>
                      </w:r>
                      <w:r w:rsidRPr="00492564">
                        <w:rPr>
                          <w:rFonts w:ascii="Times New Roman" w:hAnsi="Times New Roman"/>
                          <w:color w:val="0070C0"/>
                          <w:sz w:val="14"/>
                        </w:rPr>
                        <w:t>)</w:t>
                      </w:r>
                    </w:p>
                    <w:p w14:paraId="1F9BD0B4" w14:textId="77777777" w:rsidR="00077A41" w:rsidRDefault="00077A41" w:rsidP="00077A41">
                      <w:pPr>
                        <w:spacing w:after="0" w:line="240" w:lineRule="auto"/>
                        <w:rPr>
                          <w:rFonts w:ascii="Times New Roman" w:hAnsi="Times New Roman"/>
                          <w:color w:val="FF0000"/>
                          <w:sz w:val="14"/>
                        </w:rPr>
                      </w:pPr>
                      <w:r w:rsidRPr="00077A41">
                        <w:rPr>
                          <w:rFonts w:ascii="Times New Roman" w:hAnsi="Times New Roman"/>
                          <w:color w:val="FF0000"/>
                          <w:sz w:val="14"/>
                        </w:rPr>
                        <w:t>Сорафениб: 12.3 (10.4, 13.9)</w:t>
                      </w:r>
                    </w:p>
                    <w:p w14:paraId="37A25A64" w14:textId="77777777" w:rsidR="00077A41" w:rsidRPr="00077A41" w:rsidRDefault="00077A41" w:rsidP="00077A41">
                      <w:pPr>
                        <w:spacing w:after="0" w:line="240" w:lineRule="auto"/>
                        <w:rPr>
                          <w:rFonts w:ascii="Times New Roman" w:hAnsi="Times New Roman"/>
                          <w:color w:val="FF0000"/>
                          <w:sz w:val="14"/>
                        </w:rPr>
                      </w:pPr>
                    </w:p>
                    <w:p w14:paraId="6A726F5D" w14:textId="77777777" w:rsidR="00077A41" w:rsidRDefault="00077A41" w:rsidP="00077A41">
                      <w:pPr>
                        <w:spacing w:after="0" w:line="240" w:lineRule="auto"/>
                        <w:rPr>
                          <w:rFonts w:ascii="Times New Roman" w:hAnsi="Times New Roman"/>
                          <w:sz w:val="14"/>
                        </w:rPr>
                      </w:pPr>
                      <w:r>
                        <w:rPr>
                          <w:rFonts w:ascii="Times New Roman" w:hAnsi="Times New Roman"/>
                          <w:sz w:val="14"/>
                        </w:rPr>
                        <w:t>Соотношение рисков (99% ДИ): 0.92 (0.79, 1.06)</w:t>
                      </w:r>
                    </w:p>
                    <w:p w14:paraId="4327361A" w14:textId="77777777" w:rsidR="00077A41" w:rsidRPr="00492564" w:rsidRDefault="00077A41" w:rsidP="00077A41">
                      <w:pPr>
                        <w:spacing w:after="0" w:line="240" w:lineRule="auto"/>
                        <w:rPr>
                          <w:rFonts w:ascii="Times New Roman" w:hAnsi="Times New Roman"/>
                          <w:sz w:val="14"/>
                        </w:rPr>
                      </w:pPr>
                    </w:p>
                    <w:p w14:paraId="52534BD3" w14:textId="77777777" w:rsidR="00077A41" w:rsidRPr="00492564" w:rsidRDefault="00077A41" w:rsidP="00077A41">
                      <w:pPr>
                        <w:spacing w:after="0" w:line="240" w:lineRule="auto"/>
                        <w:rPr>
                          <w:rFonts w:ascii="Times New Roman" w:hAnsi="Times New Roman"/>
                          <w:sz w:val="14"/>
                        </w:rPr>
                      </w:pPr>
                    </w:p>
                  </w:txbxContent>
                </v:textbox>
              </v:shape>
            </w:pict>
          </mc:Fallback>
        </mc:AlternateContent>
      </w:r>
      <w:r w:rsidRPr="005A46FC">
        <w:rPr>
          <w:rFonts w:ascii="Times New Roman" w:hAnsi="Times New Roman"/>
          <w:noProof/>
          <w:sz w:val="24"/>
          <w:szCs w:val="24"/>
          <w:lang w:eastAsia="ru-RU"/>
        </w:rPr>
        <w:drawing>
          <wp:inline distT="0" distB="0" distL="0" distR="0" wp14:anchorId="7FB92F2C" wp14:editId="7E53A663">
            <wp:extent cx="5753100" cy="25222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522220"/>
                    </a:xfrm>
                    <a:prstGeom prst="rect">
                      <a:avLst/>
                    </a:prstGeom>
                    <a:noFill/>
                    <a:ln>
                      <a:noFill/>
                    </a:ln>
                  </pic:spPr>
                </pic:pic>
              </a:graphicData>
            </a:graphic>
          </wp:inline>
        </w:drawing>
      </w:r>
    </w:p>
    <w:p w14:paraId="54684771" w14:textId="77777777" w:rsidR="00302B54" w:rsidRPr="005A46FC" w:rsidRDefault="00302B54" w:rsidP="00302B54">
      <w:pPr>
        <w:autoSpaceDE w:val="0"/>
        <w:autoSpaceDN w:val="0"/>
        <w:adjustRightInd w:val="0"/>
        <w:spacing w:after="0" w:line="240" w:lineRule="auto"/>
        <w:jc w:val="center"/>
        <w:rPr>
          <w:rFonts w:ascii="Times New Roman" w:hAnsi="Times New Roman"/>
          <w:b/>
          <w:bCs/>
          <w:sz w:val="20"/>
          <w:szCs w:val="20"/>
          <w:lang w:eastAsia="ru-RU"/>
        </w:rPr>
      </w:pPr>
      <w:r w:rsidRPr="005A46FC">
        <w:rPr>
          <w:rFonts w:ascii="Times New Roman" w:hAnsi="Times New Roman"/>
          <w:b/>
          <w:bCs/>
          <w:sz w:val="20"/>
          <w:szCs w:val="20"/>
          <w:lang w:eastAsia="ru-RU"/>
        </w:rPr>
        <w:t>Время (месяцы)</w:t>
      </w:r>
    </w:p>
    <w:p w14:paraId="3F89A892" w14:textId="77777777" w:rsidR="006757F1" w:rsidRPr="005A46FC" w:rsidRDefault="005F47C2" w:rsidP="009C1431">
      <w:pPr>
        <w:autoSpaceDE w:val="0"/>
        <w:autoSpaceDN w:val="0"/>
        <w:adjustRightInd w:val="0"/>
        <w:spacing w:after="0" w:line="240" w:lineRule="auto"/>
        <w:jc w:val="both"/>
        <w:rPr>
          <w:rFonts w:ascii="Times New Roman" w:hAnsi="Times New Roman"/>
          <w:b/>
          <w:bCs/>
          <w:sz w:val="18"/>
          <w:szCs w:val="18"/>
          <w:lang w:eastAsia="ru-RU"/>
        </w:rPr>
      </w:pPr>
      <w:r w:rsidRPr="005A46FC">
        <w:rPr>
          <w:rFonts w:ascii="Times New Roman" w:hAnsi="Times New Roman"/>
          <w:b/>
          <w:bCs/>
          <w:sz w:val="18"/>
          <w:szCs w:val="18"/>
          <w:lang w:eastAsia="ru-RU"/>
        </w:rPr>
        <w:t>Количество субъектов в риске</w:t>
      </w:r>
    </w:p>
    <w:tbl>
      <w:tblPr>
        <w:tblW w:w="0" w:type="auto"/>
        <w:tblLook w:val="04A0" w:firstRow="1" w:lastRow="0" w:firstColumn="1" w:lastColumn="0" w:noHBand="0" w:noVBand="1"/>
      </w:tblPr>
      <w:tblGrid>
        <w:gridCol w:w="1036"/>
        <w:gridCol w:w="606"/>
        <w:gridCol w:w="607"/>
        <w:gridCol w:w="606"/>
        <w:gridCol w:w="606"/>
        <w:gridCol w:w="606"/>
        <w:gridCol w:w="606"/>
        <w:gridCol w:w="606"/>
        <w:gridCol w:w="566"/>
        <w:gridCol w:w="566"/>
        <w:gridCol w:w="514"/>
        <w:gridCol w:w="514"/>
        <w:gridCol w:w="476"/>
        <w:gridCol w:w="462"/>
        <w:gridCol w:w="462"/>
        <w:gridCol w:w="448"/>
      </w:tblGrid>
      <w:tr w:rsidR="005F47C2" w:rsidRPr="005A46FC" w14:paraId="4B3E5019" w14:textId="77777777" w:rsidTr="003222B0">
        <w:tc>
          <w:tcPr>
            <w:tcW w:w="1036" w:type="dxa"/>
            <w:shd w:val="clear" w:color="auto" w:fill="auto"/>
          </w:tcPr>
          <w:p w14:paraId="1F14BFCF"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Ленватиниб</w:t>
            </w:r>
          </w:p>
        </w:tc>
        <w:tc>
          <w:tcPr>
            <w:tcW w:w="606" w:type="dxa"/>
            <w:shd w:val="clear" w:color="auto" w:fill="auto"/>
          </w:tcPr>
          <w:p w14:paraId="7A0F28B6"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478</w:t>
            </w:r>
          </w:p>
        </w:tc>
        <w:tc>
          <w:tcPr>
            <w:tcW w:w="607" w:type="dxa"/>
            <w:shd w:val="clear" w:color="auto" w:fill="auto"/>
          </w:tcPr>
          <w:p w14:paraId="3299B705"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436</w:t>
            </w:r>
          </w:p>
        </w:tc>
        <w:tc>
          <w:tcPr>
            <w:tcW w:w="606" w:type="dxa"/>
            <w:shd w:val="clear" w:color="auto" w:fill="auto"/>
          </w:tcPr>
          <w:p w14:paraId="4E0EF9AE"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374</w:t>
            </w:r>
          </w:p>
        </w:tc>
        <w:tc>
          <w:tcPr>
            <w:tcW w:w="606" w:type="dxa"/>
            <w:shd w:val="clear" w:color="auto" w:fill="auto"/>
          </w:tcPr>
          <w:p w14:paraId="2F8D7143"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297</w:t>
            </w:r>
          </w:p>
        </w:tc>
        <w:tc>
          <w:tcPr>
            <w:tcW w:w="606" w:type="dxa"/>
            <w:shd w:val="clear" w:color="auto" w:fill="auto"/>
          </w:tcPr>
          <w:p w14:paraId="603EE424"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253</w:t>
            </w:r>
          </w:p>
        </w:tc>
        <w:tc>
          <w:tcPr>
            <w:tcW w:w="606" w:type="dxa"/>
            <w:shd w:val="clear" w:color="auto" w:fill="auto"/>
          </w:tcPr>
          <w:p w14:paraId="67C319E2"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207</w:t>
            </w:r>
          </w:p>
        </w:tc>
        <w:tc>
          <w:tcPr>
            <w:tcW w:w="606" w:type="dxa"/>
            <w:shd w:val="clear" w:color="auto" w:fill="auto"/>
          </w:tcPr>
          <w:p w14:paraId="42C4E704"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178</w:t>
            </w:r>
          </w:p>
        </w:tc>
        <w:tc>
          <w:tcPr>
            <w:tcW w:w="566" w:type="dxa"/>
            <w:shd w:val="clear" w:color="auto" w:fill="auto"/>
          </w:tcPr>
          <w:p w14:paraId="16DF5E38"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140</w:t>
            </w:r>
          </w:p>
        </w:tc>
        <w:tc>
          <w:tcPr>
            <w:tcW w:w="566" w:type="dxa"/>
            <w:shd w:val="clear" w:color="auto" w:fill="auto"/>
          </w:tcPr>
          <w:p w14:paraId="122E550D"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102</w:t>
            </w:r>
          </w:p>
        </w:tc>
        <w:tc>
          <w:tcPr>
            <w:tcW w:w="514" w:type="dxa"/>
            <w:shd w:val="clear" w:color="auto" w:fill="auto"/>
          </w:tcPr>
          <w:p w14:paraId="16818ADF"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67</w:t>
            </w:r>
          </w:p>
        </w:tc>
        <w:tc>
          <w:tcPr>
            <w:tcW w:w="514" w:type="dxa"/>
            <w:shd w:val="clear" w:color="auto" w:fill="auto"/>
          </w:tcPr>
          <w:p w14:paraId="02B95ADE"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40</w:t>
            </w:r>
          </w:p>
        </w:tc>
        <w:tc>
          <w:tcPr>
            <w:tcW w:w="476" w:type="dxa"/>
            <w:shd w:val="clear" w:color="auto" w:fill="auto"/>
          </w:tcPr>
          <w:p w14:paraId="1BDF9F90"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21</w:t>
            </w:r>
          </w:p>
        </w:tc>
        <w:tc>
          <w:tcPr>
            <w:tcW w:w="462" w:type="dxa"/>
            <w:shd w:val="clear" w:color="auto" w:fill="auto"/>
          </w:tcPr>
          <w:p w14:paraId="6CF91188"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8</w:t>
            </w:r>
          </w:p>
        </w:tc>
        <w:tc>
          <w:tcPr>
            <w:tcW w:w="462" w:type="dxa"/>
            <w:shd w:val="clear" w:color="auto" w:fill="auto"/>
          </w:tcPr>
          <w:p w14:paraId="2A22846C"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w:t>
            </w:r>
          </w:p>
        </w:tc>
        <w:tc>
          <w:tcPr>
            <w:tcW w:w="448" w:type="dxa"/>
            <w:shd w:val="clear" w:color="auto" w:fill="auto"/>
          </w:tcPr>
          <w:p w14:paraId="093EDA03"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0</w:t>
            </w:r>
          </w:p>
        </w:tc>
      </w:tr>
      <w:tr w:rsidR="005F47C2" w:rsidRPr="005A46FC" w14:paraId="38526BB8" w14:textId="77777777" w:rsidTr="003222B0">
        <w:tc>
          <w:tcPr>
            <w:tcW w:w="1036" w:type="dxa"/>
            <w:shd w:val="clear" w:color="auto" w:fill="auto"/>
          </w:tcPr>
          <w:p w14:paraId="3093B2F6"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Сорафениб</w:t>
            </w:r>
          </w:p>
        </w:tc>
        <w:tc>
          <w:tcPr>
            <w:tcW w:w="606" w:type="dxa"/>
            <w:shd w:val="clear" w:color="auto" w:fill="auto"/>
          </w:tcPr>
          <w:p w14:paraId="2D456614"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476</w:t>
            </w:r>
          </w:p>
        </w:tc>
        <w:tc>
          <w:tcPr>
            <w:tcW w:w="607" w:type="dxa"/>
            <w:shd w:val="clear" w:color="auto" w:fill="auto"/>
          </w:tcPr>
          <w:p w14:paraId="5A69D785"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440</w:t>
            </w:r>
          </w:p>
        </w:tc>
        <w:tc>
          <w:tcPr>
            <w:tcW w:w="606" w:type="dxa"/>
            <w:shd w:val="clear" w:color="auto" w:fill="auto"/>
          </w:tcPr>
          <w:p w14:paraId="297DE362"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348</w:t>
            </w:r>
          </w:p>
        </w:tc>
        <w:tc>
          <w:tcPr>
            <w:tcW w:w="606" w:type="dxa"/>
            <w:shd w:val="clear" w:color="auto" w:fill="auto"/>
          </w:tcPr>
          <w:p w14:paraId="5D88E6D0"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282</w:t>
            </w:r>
          </w:p>
        </w:tc>
        <w:tc>
          <w:tcPr>
            <w:tcW w:w="606" w:type="dxa"/>
            <w:shd w:val="clear" w:color="auto" w:fill="auto"/>
          </w:tcPr>
          <w:p w14:paraId="680BACF3"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230</w:t>
            </w:r>
          </w:p>
        </w:tc>
        <w:tc>
          <w:tcPr>
            <w:tcW w:w="606" w:type="dxa"/>
            <w:shd w:val="clear" w:color="auto" w:fill="auto"/>
          </w:tcPr>
          <w:p w14:paraId="22F6DBFE"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192</w:t>
            </w:r>
          </w:p>
        </w:tc>
        <w:tc>
          <w:tcPr>
            <w:tcW w:w="606" w:type="dxa"/>
            <w:shd w:val="clear" w:color="auto" w:fill="auto"/>
          </w:tcPr>
          <w:p w14:paraId="73626075"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156</w:t>
            </w:r>
          </w:p>
        </w:tc>
        <w:tc>
          <w:tcPr>
            <w:tcW w:w="566" w:type="dxa"/>
            <w:shd w:val="clear" w:color="auto" w:fill="auto"/>
          </w:tcPr>
          <w:p w14:paraId="201B69C2"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116</w:t>
            </w:r>
          </w:p>
        </w:tc>
        <w:tc>
          <w:tcPr>
            <w:tcW w:w="566" w:type="dxa"/>
            <w:shd w:val="clear" w:color="auto" w:fill="auto"/>
          </w:tcPr>
          <w:p w14:paraId="56B4F7B0"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83</w:t>
            </w:r>
          </w:p>
        </w:tc>
        <w:tc>
          <w:tcPr>
            <w:tcW w:w="514" w:type="dxa"/>
            <w:shd w:val="clear" w:color="auto" w:fill="auto"/>
          </w:tcPr>
          <w:p w14:paraId="778F0E53"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57</w:t>
            </w:r>
          </w:p>
        </w:tc>
        <w:tc>
          <w:tcPr>
            <w:tcW w:w="514" w:type="dxa"/>
            <w:shd w:val="clear" w:color="auto" w:fill="auto"/>
          </w:tcPr>
          <w:p w14:paraId="46257BDD"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33</w:t>
            </w:r>
          </w:p>
        </w:tc>
        <w:tc>
          <w:tcPr>
            <w:tcW w:w="476" w:type="dxa"/>
            <w:shd w:val="clear" w:color="auto" w:fill="auto"/>
          </w:tcPr>
          <w:p w14:paraId="270DB4EA"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16</w:t>
            </w:r>
          </w:p>
        </w:tc>
        <w:tc>
          <w:tcPr>
            <w:tcW w:w="462" w:type="dxa"/>
            <w:shd w:val="clear" w:color="auto" w:fill="auto"/>
          </w:tcPr>
          <w:p w14:paraId="53E23080"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8</w:t>
            </w:r>
          </w:p>
        </w:tc>
        <w:tc>
          <w:tcPr>
            <w:tcW w:w="462" w:type="dxa"/>
            <w:shd w:val="clear" w:color="auto" w:fill="auto"/>
          </w:tcPr>
          <w:p w14:paraId="276B80E2"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4</w:t>
            </w:r>
          </w:p>
        </w:tc>
        <w:tc>
          <w:tcPr>
            <w:tcW w:w="448" w:type="dxa"/>
            <w:shd w:val="clear" w:color="auto" w:fill="auto"/>
          </w:tcPr>
          <w:p w14:paraId="623C2488"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0</w:t>
            </w:r>
          </w:p>
        </w:tc>
      </w:tr>
    </w:tbl>
    <w:p w14:paraId="4CFB446A" w14:textId="77777777" w:rsidR="005F47C2" w:rsidRPr="005A46FC" w:rsidRDefault="005F47C2" w:rsidP="009C1431">
      <w:pPr>
        <w:autoSpaceDE w:val="0"/>
        <w:autoSpaceDN w:val="0"/>
        <w:adjustRightInd w:val="0"/>
        <w:spacing w:after="0" w:line="240" w:lineRule="auto"/>
        <w:jc w:val="both"/>
        <w:rPr>
          <w:rFonts w:ascii="Times New Roman" w:hAnsi="Times New Roman"/>
          <w:color w:val="000000"/>
          <w:sz w:val="24"/>
          <w:szCs w:val="24"/>
          <w:lang w:eastAsia="ru-RU"/>
        </w:rPr>
      </w:pPr>
    </w:p>
    <w:p w14:paraId="5E7C76CA" w14:textId="77777777" w:rsidR="005F47C2" w:rsidRPr="005A46FC" w:rsidRDefault="005F47C2" w:rsidP="005F47C2">
      <w:pPr>
        <w:autoSpaceDE w:val="0"/>
        <w:autoSpaceDN w:val="0"/>
        <w:adjustRightInd w:val="0"/>
        <w:spacing w:after="0" w:line="240" w:lineRule="auto"/>
        <w:jc w:val="both"/>
        <w:rPr>
          <w:rFonts w:ascii="Times New Roman" w:hAnsi="Times New Roman"/>
          <w:color w:val="000000"/>
          <w:sz w:val="20"/>
          <w:szCs w:val="20"/>
          <w:lang w:eastAsia="ru-RU"/>
        </w:rPr>
      </w:pPr>
      <w:r w:rsidRPr="005A46FC">
        <w:rPr>
          <w:rFonts w:ascii="Times New Roman" w:hAnsi="Times New Roman"/>
          <w:color w:val="000000"/>
          <w:sz w:val="20"/>
          <w:szCs w:val="20"/>
          <w:lang w:eastAsia="ru-RU"/>
        </w:rPr>
        <w:t>1. Дата окончания сбора данных = 13 ноября 2016 г.</w:t>
      </w:r>
    </w:p>
    <w:p w14:paraId="67E60CE1" w14:textId="77777777" w:rsidR="005F47C2" w:rsidRPr="005A46FC" w:rsidRDefault="005F47C2" w:rsidP="005F47C2">
      <w:pPr>
        <w:autoSpaceDE w:val="0"/>
        <w:autoSpaceDN w:val="0"/>
        <w:adjustRightInd w:val="0"/>
        <w:spacing w:after="0" w:line="240" w:lineRule="auto"/>
        <w:jc w:val="both"/>
        <w:rPr>
          <w:rFonts w:ascii="Times New Roman" w:hAnsi="Times New Roman"/>
          <w:color w:val="000000"/>
          <w:sz w:val="20"/>
          <w:szCs w:val="20"/>
          <w:lang w:eastAsia="ru-RU"/>
        </w:rPr>
      </w:pPr>
      <w:r w:rsidRPr="005A46FC">
        <w:rPr>
          <w:rFonts w:ascii="Times New Roman" w:hAnsi="Times New Roman"/>
          <w:color w:val="000000"/>
          <w:sz w:val="20"/>
          <w:szCs w:val="20"/>
          <w:lang w:eastAsia="ru-RU"/>
        </w:rPr>
        <w:t>2. Граница не меньшей эффективности для соотношения рисков (ОР: ленватиниб по сравнению с сорафенибом = 1,08).</w:t>
      </w:r>
    </w:p>
    <w:p w14:paraId="7F890A59" w14:textId="77777777" w:rsidR="005F47C2" w:rsidRPr="005A46FC" w:rsidRDefault="005F47C2" w:rsidP="005F47C2">
      <w:pPr>
        <w:autoSpaceDE w:val="0"/>
        <w:autoSpaceDN w:val="0"/>
        <w:adjustRightInd w:val="0"/>
        <w:spacing w:after="0" w:line="240" w:lineRule="auto"/>
        <w:jc w:val="both"/>
        <w:rPr>
          <w:rFonts w:ascii="Times New Roman" w:hAnsi="Times New Roman"/>
          <w:color w:val="000000"/>
          <w:sz w:val="20"/>
          <w:szCs w:val="20"/>
          <w:lang w:eastAsia="ru-RU"/>
        </w:rPr>
      </w:pPr>
      <w:r w:rsidRPr="005A46FC">
        <w:rPr>
          <w:rFonts w:ascii="Times New Roman" w:hAnsi="Times New Roman"/>
          <w:color w:val="000000"/>
          <w:sz w:val="20"/>
          <w:szCs w:val="20"/>
          <w:lang w:eastAsia="ru-RU"/>
        </w:rPr>
        <w:t>3. Медиана оценивалась по методу Каплана-Мейера, а 95% доверительный интервал строился по обобщенному методу Брукмейера и Кроули.</w:t>
      </w:r>
    </w:p>
    <w:p w14:paraId="475EE6C7" w14:textId="77777777" w:rsidR="005F47C2" w:rsidRPr="005A46FC" w:rsidRDefault="005F47C2" w:rsidP="005F47C2">
      <w:pPr>
        <w:autoSpaceDE w:val="0"/>
        <w:autoSpaceDN w:val="0"/>
        <w:adjustRightInd w:val="0"/>
        <w:spacing w:after="0" w:line="240" w:lineRule="auto"/>
        <w:jc w:val="both"/>
        <w:rPr>
          <w:rFonts w:ascii="Times New Roman" w:hAnsi="Times New Roman"/>
          <w:color w:val="000000"/>
          <w:sz w:val="20"/>
          <w:szCs w:val="20"/>
          <w:lang w:eastAsia="ru-RU"/>
        </w:rPr>
      </w:pPr>
      <w:r w:rsidRPr="005A46FC">
        <w:rPr>
          <w:rFonts w:ascii="Times New Roman" w:hAnsi="Times New Roman"/>
          <w:color w:val="000000"/>
          <w:sz w:val="20"/>
          <w:szCs w:val="20"/>
          <w:lang w:eastAsia="ru-RU"/>
        </w:rPr>
        <w:t xml:space="preserve">4. </w:t>
      </w:r>
      <w:r w:rsidR="00415D2F" w:rsidRPr="005A46FC">
        <w:rPr>
          <w:rFonts w:ascii="Times New Roman" w:hAnsi="Times New Roman"/>
          <w:color w:val="000000"/>
          <w:sz w:val="20"/>
          <w:szCs w:val="20"/>
          <w:lang w:eastAsia="ru-RU"/>
        </w:rPr>
        <w:t>Соотношение рисков</w:t>
      </w:r>
      <w:r w:rsidRPr="005A46FC">
        <w:rPr>
          <w:rFonts w:ascii="Times New Roman" w:hAnsi="Times New Roman"/>
          <w:color w:val="000000"/>
          <w:sz w:val="20"/>
          <w:szCs w:val="20"/>
          <w:lang w:eastAsia="ru-RU"/>
        </w:rPr>
        <w:t xml:space="preserve"> оценивал</w:t>
      </w:r>
      <w:r w:rsidR="00415D2F" w:rsidRPr="005A46FC">
        <w:rPr>
          <w:rFonts w:ascii="Times New Roman" w:hAnsi="Times New Roman"/>
          <w:color w:val="000000"/>
          <w:sz w:val="20"/>
          <w:szCs w:val="20"/>
          <w:lang w:eastAsia="ru-RU"/>
        </w:rPr>
        <w:t>о</w:t>
      </w:r>
      <w:r w:rsidRPr="005A46FC">
        <w:rPr>
          <w:rFonts w:ascii="Times New Roman" w:hAnsi="Times New Roman"/>
          <w:color w:val="000000"/>
          <w:sz w:val="20"/>
          <w:szCs w:val="20"/>
          <w:lang w:eastAsia="ru-RU"/>
        </w:rPr>
        <w:t>сь по модели пропорциональных рисков Кокса с лечением в качестве независимой переменной и стратифицирована с использованием факторов стратификации IxRS. Для завязок использовался метод Эфрона.</w:t>
      </w:r>
    </w:p>
    <w:p w14:paraId="1EC8303E" w14:textId="77777777" w:rsidR="005F47C2" w:rsidRPr="005A46FC" w:rsidRDefault="005F47C2" w:rsidP="005F47C2">
      <w:pPr>
        <w:autoSpaceDE w:val="0"/>
        <w:autoSpaceDN w:val="0"/>
        <w:adjustRightInd w:val="0"/>
        <w:spacing w:after="0" w:line="240" w:lineRule="auto"/>
        <w:jc w:val="both"/>
        <w:rPr>
          <w:rFonts w:ascii="Times New Roman" w:hAnsi="Times New Roman"/>
          <w:color w:val="000000"/>
          <w:sz w:val="20"/>
          <w:szCs w:val="20"/>
          <w:lang w:eastAsia="ru-RU"/>
        </w:rPr>
      </w:pPr>
      <w:r w:rsidRPr="005A46FC">
        <w:rPr>
          <w:rFonts w:ascii="Times New Roman" w:hAnsi="Times New Roman"/>
          <w:color w:val="000000"/>
          <w:sz w:val="20"/>
          <w:szCs w:val="20"/>
          <w:lang w:eastAsia="ru-RU"/>
        </w:rPr>
        <w:t xml:space="preserve">5.+ = </w:t>
      </w:r>
      <w:r w:rsidR="00415D2F" w:rsidRPr="005A46FC">
        <w:rPr>
          <w:rFonts w:ascii="Times New Roman" w:hAnsi="Times New Roman"/>
          <w:color w:val="000000"/>
          <w:sz w:val="20"/>
          <w:szCs w:val="20"/>
          <w:lang w:eastAsia="ru-RU"/>
        </w:rPr>
        <w:t>подвергнутые цензуре наблюдения</w:t>
      </w:r>
      <w:r w:rsidRPr="005A46FC">
        <w:rPr>
          <w:rFonts w:ascii="Times New Roman" w:hAnsi="Times New Roman"/>
          <w:color w:val="000000"/>
          <w:sz w:val="20"/>
          <w:szCs w:val="20"/>
          <w:lang w:eastAsia="ru-RU"/>
        </w:rPr>
        <w:t>.</w:t>
      </w:r>
    </w:p>
    <w:p w14:paraId="00EF8D19" w14:textId="77777777" w:rsidR="00F81D8A" w:rsidRPr="005A46FC" w:rsidRDefault="00F81D8A" w:rsidP="00415D2F">
      <w:pPr>
        <w:autoSpaceDE w:val="0"/>
        <w:autoSpaceDN w:val="0"/>
        <w:adjustRightInd w:val="0"/>
        <w:spacing w:after="0" w:line="240" w:lineRule="auto"/>
        <w:jc w:val="both"/>
        <w:rPr>
          <w:rFonts w:ascii="Times New Roman" w:hAnsi="Times New Roman"/>
          <w:sz w:val="24"/>
          <w:szCs w:val="24"/>
          <w:lang w:eastAsia="ru-RU"/>
        </w:rPr>
      </w:pPr>
    </w:p>
    <w:p w14:paraId="0104B201" w14:textId="77777777" w:rsidR="00415D2F" w:rsidRPr="005A46FC" w:rsidRDefault="008D0681"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При анализе подгрупп по факторам стратификации (наличие или отсутствие MPVI или EHS или того и другого, ECOG PS 0 или 1, масса тела &lt;60 кг или ≥60 кг и регион) соотношение рисков неизменно отдавал предпочтение ленватинибу по сравнению с сорафенибом, за исключением западного региона [соотношение рисков 1,08 (95% ДИ 0,82, 1,42), пациенты без EHS [HR 1,01 (95% CI 0,78, 1,30)] и пациенты без MPVI, EHS или того и другого [HR 1,05 (0,79, 1,40)]. Анализы результатов следует интерпретировать с осторожностью.</w:t>
      </w:r>
    </w:p>
    <w:p w14:paraId="2C2D9380" w14:textId="77777777" w:rsidR="008D0681" w:rsidRPr="005A46FC" w:rsidRDefault="00550514"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продолжительность лечения составила 5,7 месяцев (Q1: 2,9, Q3: 11,1) в группе ленватиниба и 3,7 месяца (Q1: 1,8, Q3: 7,4) в группе сорафениба.</w:t>
      </w:r>
    </w:p>
    <w:p w14:paraId="6B80713F" w14:textId="77777777" w:rsidR="00550514" w:rsidRPr="005A46FC" w:rsidRDefault="00550514"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В исследовании REFLECT в обеих группах лечения медиана общей выживаемости была приблизительно на 9 месяцев больше у субъектов, получавших противораковую терапию после лечения, чем у тех, кто ее не получал. В группе ленватиниба медиана ОВ составила 19,5 месяцев (95% ДИ: 15,7, 23,0) для субъектов, получавших противораковую терапию после лечения (43%), и 10,5 месяцев (95% ДИ: 8,6, 12,2) для тех, кто не получал. В группе сорафениба медиана ОВ составила 17,0 месяцев (95% ДИ: 14,2, 18,8) для субъектов, получавших противораковую терапию после лечения (51%), и 7,9 месяцев (95% ДИ: 6,6, 9,7) для тех, кто не получал. Медиана ОВ была больше примерно на 2,5 месяца в группе ленватиниба по сравнению с группой сорафениба в обеих подгруппах субъектов (с противоопухолевой терапией после лечения или без нее).</w:t>
      </w:r>
    </w:p>
    <w:p w14:paraId="398563FA" w14:textId="77777777" w:rsidR="00550514" w:rsidRPr="005A46FC" w:rsidRDefault="00550514" w:rsidP="00550514">
      <w:pPr>
        <w:autoSpaceDE w:val="0"/>
        <w:autoSpaceDN w:val="0"/>
        <w:adjustRightInd w:val="0"/>
        <w:spacing w:after="0" w:line="240" w:lineRule="auto"/>
        <w:jc w:val="both"/>
        <w:rPr>
          <w:rFonts w:ascii="Times New Roman" w:hAnsi="Times New Roman"/>
          <w:i/>
          <w:iCs/>
          <w:sz w:val="24"/>
          <w:szCs w:val="24"/>
          <w:lang w:eastAsia="ru-RU"/>
        </w:rPr>
      </w:pPr>
      <w:r w:rsidRPr="005A46FC">
        <w:rPr>
          <w:rFonts w:ascii="Times New Roman" w:hAnsi="Times New Roman"/>
          <w:i/>
          <w:iCs/>
          <w:sz w:val="24"/>
          <w:szCs w:val="24"/>
          <w:lang w:eastAsia="ru-RU"/>
        </w:rPr>
        <w:t>Рак эндометрия</w:t>
      </w:r>
    </w:p>
    <w:p w14:paraId="4D594736"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lastRenderedPageBreak/>
        <w:t>Эффективность ленватиниба в комбинации с пембролизумабом изучалась в рандомизированном, многоцентровом, открытом исследовании 309 с активным контролем, проведенным у пациентов с распространенным РЭ, которые ранее получали по крайней мере один предшествующий режим химиотерапии на основе препаратов платины в любых условиях, в том числе в неоадъювантной и адъювантной. Всего участники могли получить до 2 препаратов, содержащих платину, при условии, что один из них применялся в условиях неоадъювантной или адъювантной терапии. В исследование не включались пациентки с раком эндометрия (включая карциносаркому) или пациентки с активным аутоиммунным заболеванием или заболеванием, требующим иммуносупрессии. Рандомизация была стратифицирована по статусу восстановления несоответствия (MMR) (dMMR или pMMR [не dMMR]) с использованием утвержденного теста IHC. Группа pMMR была дополнительно стратифицирована по статусу ECOG, географическому региону и истории облучения таза. Пациенты были рандомизированы (1:1) в одну из следующих групп лечения:</w:t>
      </w:r>
    </w:p>
    <w:p w14:paraId="750DB0D7"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ленватиниб со схемой 20 мг перорально один раз в день в комбинации с пембролизумабом 200 мг внутривенно каждые 3 недели.</w:t>
      </w:r>
    </w:p>
    <w:p w14:paraId="29461A39" w14:textId="77777777" w:rsidR="008D0681"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по выбору исследователя: либо доксорубицин 60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каждые 3 недели, либо паклитаксел 80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еженедельно, 3 недели приема/1 неделя перерыва.</w:t>
      </w:r>
    </w:p>
    <w:p w14:paraId="0168C8C3"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Лечение ленватинибом и пембролизумабом продолжалось до прогрессирования заболевания, определяемого RECIST v1.1, подтвержденного слепым независимым центральным обзором (BICR), неприемлемой токсичности или для пембролизумаба до 24 месяцев. Введение исследуемого лечения разрешалось после прогрессирования заболевания, определенного по RECIST, если лечащий исследователь считал, что пациент получает клиническую пользу, и лечение переносилось. В общей сложности 121/411 (29%) пациентов, получавших ленватиниб и пембролизумаб, продолжали исследуемую терапию после прогрессирования заболевания по критериям RECIST. Медиана продолжительности постпрогрессирующей терапии составила 2,8 месяца. Оценка состояния опухоли проводилась каждые 8 недель.</w:t>
      </w:r>
    </w:p>
    <w:p w14:paraId="2BEAA254"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Всего в исследование было включено 827 пациентов, которые были рандомизированы для получения ленватиниба в комбинации с пембролизумабом (n=411) или доксорубицина по выбору исследователя (n=306) или паклитаксела (n=110). Исходными характеристиками этих пациентов были: средний возраст 65 лет (от 30 до 86 лет), 50% — от 65 лет и старше; 61% белых, 21% азиатов и 4% негроидной расы; ECOG PS 0 (59%) или 1 (41%), и 84% с опухолевым статусом pMMR, и 16% с опухолевым статусом dMMR. Гистологическими подтипами были эндометриоидная карцинома (60%), серозная (26%), светлоклеточная карцинома (6%), смешанная (5%) и другая (3%). Все 827 пациентов ранее получали системную терапию против РЭ: 69% — одну, 28% — две и 3% — три или более предшествующих системных терапий. Тридцать семь процентов пациентов ранее получали только неоадъювантную или адъювантную терапию.</w:t>
      </w:r>
    </w:p>
    <w:p w14:paraId="636240EA"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продолжительность исследуемого лечения составила 7,6 месяца (диапазон от 1 дня до 26,8 месяца). Средняя продолжительность приема ленватиниба составила 6,9 мес (от 1 дня до 26,8 месяцев).</w:t>
      </w:r>
    </w:p>
    <w:p w14:paraId="4B613287"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Первичными показателями эффективности были ОВ и ВБП (согласно оценке BICR с использованием RECIST 1.1). Вторичные показатели эффективности включали ЧОО по оценке BICR с использованием RECIST 1.1. При предварительном промежуточном анализе со средним временем наблюдения 11,4 месяца (диапазон: от 0,3 до 26,9 месяца) исследование продемонстрировало статистически значимое улучшение ОВ и ВБП у всех добровольцев.</w:t>
      </w:r>
    </w:p>
    <w:p w14:paraId="6ADC3B35"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Результаты эффективности по подгруппам MMR соответствовали общим результатам исследования.</w:t>
      </w:r>
    </w:p>
    <w:p w14:paraId="1DD85C1D"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lastRenderedPageBreak/>
        <w:t>Предварительно заданный окончательный анализ общей выживаемости с приблизительно 16 месяцами дополнительной продолжительности наблюдения после промежуточного анализа (общая медиана времени наблюдения 14,7 месяца [диапазон: от 0,3 до 43,0 месяцев]) был выполнен без корректировки множественности. Результаты эффективности в популяции всех желающих приведены в таблице 9. Кривые Каплана-Мейера для окончательного анализа общей выживаемости и промежуточного анализа ВБП представлены на рисунках 3 и 4 соответственно.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967"/>
        <w:gridCol w:w="3225"/>
      </w:tblGrid>
      <w:tr w:rsidR="00550514" w:rsidRPr="005A46FC" w14:paraId="48488BF3" w14:textId="77777777" w:rsidTr="003222B0">
        <w:tc>
          <w:tcPr>
            <w:tcW w:w="9287" w:type="dxa"/>
            <w:gridSpan w:val="3"/>
            <w:shd w:val="clear" w:color="auto" w:fill="auto"/>
          </w:tcPr>
          <w:p w14:paraId="105281C1" w14:textId="77777777" w:rsidR="00550514" w:rsidRPr="005A46FC" w:rsidRDefault="00550514"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 xml:space="preserve">Таблица 9. Эффективность результатов терапии </w:t>
            </w:r>
            <w:r w:rsidR="00F51CC2" w:rsidRPr="005A46FC">
              <w:rPr>
                <w:rFonts w:ascii="Times New Roman" w:hAnsi="Times New Roman"/>
                <w:b/>
                <w:bCs/>
                <w:sz w:val="24"/>
                <w:szCs w:val="24"/>
                <w:lang w:eastAsia="ru-RU"/>
              </w:rPr>
              <w:t>рака эндометрия в исследовании 309</w:t>
            </w:r>
          </w:p>
        </w:tc>
      </w:tr>
      <w:tr w:rsidR="00550514" w:rsidRPr="005A46FC" w14:paraId="3E32C2A8" w14:textId="77777777" w:rsidTr="003222B0">
        <w:tc>
          <w:tcPr>
            <w:tcW w:w="3095" w:type="dxa"/>
            <w:shd w:val="clear" w:color="auto" w:fill="auto"/>
          </w:tcPr>
          <w:p w14:paraId="222DC405" w14:textId="77777777" w:rsidR="00550514"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Конечная точка</w:t>
            </w:r>
          </w:p>
        </w:tc>
        <w:tc>
          <w:tcPr>
            <w:tcW w:w="2967" w:type="dxa"/>
            <w:shd w:val="clear" w:color="auto" w:fill="auto"/>
          </w:tcPr>
          <w:p w14:paraId="50C5A605" w14:textId="77777777" w:rsidR="00550514"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 xml:space="preserve">Леватиниб + пембролизумаб </w:t>
            </w:r>
          </w:p>
          <w:p w14:paraId="497EDC1E" w14:textId="77777777" w:rsidR="00F51CC2"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en-US" w:eastAsia="ru-RU"/>
              </w:rPr>
              <w:t xml:space="preserve">N = </w:t>
            </w:r>
            <w:r w:rsidRPr="005A46FC">
              <w:rPr>
                <w:rFonts w:ascii="Times New Roman" w:hAnsi="Times New Roman"/>
                <w:b/>
                <w:bCs/>
                <w:sz w:val="24"/>
                <w:szCs w:val="24"/>
                <w:lang w:eastAsia="ru-RU"/>
              </w:rPr>
              <w:t>411</w:t>
            </w:r>
          </w:p>
        </w:tc>
        <w:tc>
          <w:tcPr>
            <w:tcW w:w="3225" w:type="dxa"/>
            <w:shd w:val="clear" w:color="auto" w:fill="auto"/>
          </w:tcPr>
          <w:p w14:paraId="22CF3D9F" w14:textId="77777777" w:rsidR="00550514"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Доксорубицин или паклитаксел</w:t>
            </w:r>
          </w:p>
          <w:p w14:paraId="037BC49F" w14:textId="77777777" w:rsidR="00F51CC2"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en-US" w:eastAsia="ru-RU"/>
              </w:rPr>
              <w:t xml:space="preserve">N = </w:t>
            </w:r>
            <w:r w:rsidRPr="005A46FC">
              <w:rPr>
                <w:rFonts w:ascii="Times New Roman" w:hAnsi="Times New Roman"/>
                <w:b/>
                <w:bCs/>
                <w:sz w:val="24"/>
                <w:szCs w:val="24"/>
                <w:lang w:eastAsia="ru-RU"/>
              </w:rPr>
              <w:t>416</w:t>
            </w:r>
          </w:p>
        </w:tc>
      </w:tr>
      <w:tr w:rsidR="00550514" w:rsidRPr="005A46FC" w14:paraId="1F680008" w14:textId="77777777" w:rsidTr="003222B0">
        <w:tc>
          <w:tcPr>
            <w:tcW w:w="3095" w:type="dxa"/>
            <w:shd w:val="clear" w:color="auto" w:fill="auto"/>
          </w:tcPr>
          <w:p w14:paraId="3C627807" w14:textId="77777777" w:rsidR="00550514"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Общая выживаемость</w:t>
            </w:r>
          </w:p>
        </w:tc>
        <w:tc>
          <w:tcPr>
            <w:tcW w:w="2967" w:type="dxa"/>
            <w:shd w:val="clear" w:color="auto" w:fill="auto"/>
          </w:tcPr>
          <w:p w14:paraId="28A38BF2" w14:textId="77777777" w:rsidR="00550514" w:rsidRPr="005A46FC" w:rsidRDefault="00550514" w:rsidP="003222B0">
            <w:pPr>
              <w:autoSpaceDE w:val="0"/>
              <w:autoSpaceDN w:val="0"/>
              <w:adjustRightInd w:val="0"/>
              <w:spacing w:after="0" w:line="240" w:lineRule="auto"/>
              <w:jc w:val="both"/>
              <w:rPr>
                <w:rFonts w:ascii="Times New Roman" w:hAnsi="Times New Roman"/>
                <w:sz w:val="24"/>
                <w:szCs w:val="24"/>
                <w:lang w:eastAsia="ru-RU"/>
              </w:rPr>
            </w:pPr>
          </w:p>
        </w:tc>
        <w:tc>
          <w:tcPr>
            <w:tcW w:w="3225" w:type="dxa"/>
            <w:shd w:val="clear" w:color="auto" w:fill="auto"/>
          </w:tcPr>
          <w:p w14:paraId="253C8FDE" w14:textId="77777777" w:rsidR="00550514" w:rsidRPr="005A46FC" w:rsidRDefault="00550514" w:rsidP="003222B0">
            <w:pPr>
              <w:autoSpaceDE w:val="0"/>
              <w:autoSpaceDN w:val="0"/>
              <w:adjustRightInd w:val="0"/>
              <w:spacing w:after="0" w:line="240" w:lineRule="auto"/>
              <w:jc w:val="both"/>
              <w:rPr>
                <w:rFonts w:ascii="Times New Roman" w:hAnsi="Times New Roman"/>
                <w:sz w:val="24"/>
                <w:szCs w:val="24"/>
                <w:lang w:eastAsia="ru-RU"/>
              </w:rPr>
            </w:pPr>
          </w:p>
        </w:tc>
      </w:tr>
      <w:tr w:rsidR="00550514" w:rsidRPr="005A46FC" w14:paraId="410FDBD9" w14:textId="77777777" w:rsidTr="003222B0">
        <w:tc>
          <w:tcPr>
            <w:tcW w:w="3095" w:type="dxa"/>
            <w:shd w:val="clear" w:color="auto" w:fill="auto"/>
          </w:tcPr>
          <w:p w14:paraId="73D5F836" w14:textId="77777777" w:rsidR="00550514"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Число пациентов с событиями (%)</w:t>
            </w:r>
          </w:p>
        </w:tc>
        <w:tc>
          <w:tcPr>
            <w:tcW w:w="2967" w:type="dxa"/>
            <w:shd w:val="clear" w:color="auto" w:fill="auto"/>
          </w:tcPr>
          <w:p w14:paraId="72A0307E" w14:textId="77777777" w:rsidR="00550514"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276 (67%)</w:t>
            </w:r>
          </w:p>
        </w:tc>
        <w:tc>
          <w:tcPr>
            <w:tcW w:w="3225" w:type="dxa"/>
            <w:shd w:val="clear" w:color="auto" w:fill="auto"/>
          </w:tcPr>
          <w:p w14:paraId="06713BCD" w14:textId="77777777" w:rsidR="00550514"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329 (79%)</w:t>
            </w:r>
          </w:p>
        </w:tc>
      </w:tr>
      <w:tr w:rsidR="00550514" w:rsidRPr="005A46FC" w14:paraId="0EC7EC84" w14:textId="77777777" w:rsidTr="003222B0">
        <w:tc>
          <w:tcPr>
            <w:tcW w:w="3095" w:type="dxa"/>
            <w:shd w:val="clear" w:color="auto" w:fill="auto"/>
          </w:tcPr>
          <w:p w14:paraId="1871EC66" w14:textId="77777777" w:rsidR="00550514"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в месяцах (95% ДИ)</w:t>
            </w:r>
          </w:p>
        </w:tc>
        <w:tc>
          <w:tcPr>
            <w:tcW w:w="2967" w:type="dxa"/>
            <w:shd w:val="clear" w:color="auto" w:fill="auto"/>
          </w:tcPr>
          <w:p w14:paraId="6586D35A" w14:textId="77777777" w:rsidR="00550514"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18.7 (15.6, 21.3)</w:t>
            </w:r>
          </w:p>
        </w:tc>
        <w:tc>
          <w:tcPr>
            <w:tcW w:w="3225" w:type="dxa"/>
            <w:shd w:val="clear" w:color="auto" w:fill="auto"/>
          </w:tcPr>
          <w:p w14:paraId="00671CC9" w14:textId="77777777" w:rsidR="00550514"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11.9 (10.7, 13.3)</w:t>
            </w:r>
          </w:p>
        </w:tc>
      </w:tr>
      <w:tr w:rsidR="00F51CC2" w:rsidRPr="005A46FC" w14:paraId="00316AA4" w14:textId="77777777" w:rsidTr="003222B0">
        <w:tc>
          <w:tcPr>
            <w:tcW w:w="3095" w:type="dxa"/>
            <w:shd w:val="clear" w:color="auto" w:fill="auto"/>
          </w:tcPr>
          <w:p w14:paraId="26C93EDA"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Соотношение рисков</w:t>
            </w:r>
            <w:r w:rsidRPr="005A46FC">
              <w:rPr>
                <w:rFonts w:ascii="Times New Roman" w:hAnsi="Times New Roman"/>
                <w:sz w:val="24"/>
                <w:szCs w:val="24"/>
                <w:vertAlign w:val="superscript"/>
                <w:lang w:eastAsia="ru-RU"/>
              </w:rPr>
              <w:t xml:space="preserve">а </w:t>
            </w:r>
            <w:r w:rsidRPr="005A46FC">
              <w:rPr>
                <w:rFonts w:ascii="Times New Roman" w:hAnsi="Times New Roman"/>
                <w:sz w:val="24"/>
                <w:szCs w:val="24"/>
                <w:lang w:eastAsia="ru-RU"/>
              </w:rPr>
              <w:t>(95% ДИ)</w:t>
            </w:r>
          </w:p>
        </w:tc>
        <w:tc>
          <w:tcPr>
            <w:tcW w:w="6192" w:type="dxa"/>
            <w:gridSpan w:val="2"/>
            <w:shd w:val="clear" w:color="auto" w:fill="auto"/>
          </w:tcPr>
          <w:p w14:paraId="117CEA33"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0.65 (0.55, 0.77)</w:t>
            </w:r>
          </w:p>
        </w:tc>
      </w:tr>
      <w:tr w:rsidR="00F51CC2" w:rsidRPr="005A46FC" w14:paraId="7C756101" w14:textId="77777777" w:rsidTr="003222B0">
        <w:tc>
          <w:tcPr>
            <w:tcW w:w="3095" w:type="dxa"/>
            <w:shd w:val="clear" w:color="auto" w:fill="auto"/>
          </w:tcPr>
          <w:p w14:paraId="02D4CD54"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Р-значение</w:t>
            </w:r>
            <w:r w:rsidRPr="005A46FC">
              <w:rPr>
                <w:rFonts w:ascii="Times New Roman" w:hAnsi="Times New Roman"/>
                <w:sz w:val="24"/>
                <w:szCs w:val="24"/>
                <w:vertAlign w:val="superscript"/>
                <w:lang w:val="en-US" w:eastAsia="ru-RU"/>
              </w:rPr>
              <w:t>b</w:t>
            </w:r>
          </w:p>
        </w:tc>
        <w:tc>
          <w:tcPr>
            <w:tcW w:w="6192" w:type="dxa"/>
            <w:gridSpan w:val="2"/>
            <w:shd w:val="clear" w:color="auto" w:fill="auto"/>
          </w:tcPr>
          <w:p w14:paraId="38D5C863"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&lt;0.0001</w:t>
            </w:r>
          </w:p>
        </w:tc>
      </w:tr>
      <w:tr w:rsidR="00F51CC2" w:rsidRPr="005A46FC" w14:paraId="687446CC" w14:textId="77777777" w:rsidTr="003222B0">
        <w:tc>
          <w:tcPr>
            <w:tcW w:w="3095" w:type="dxa"/>
            <w:shd w:val="clear" w:color="auto" w:fill="auto"/>
          </w:tcPr>
          <w:p w14:paraId="3E176896" w14:textId="77777777" w:rsidR="00F51CC2"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ВБП</w:t>
            </w:r>
            <w:r w:rsidRPr="005A46FC">
              <w:rPr>
                <w:rFonts w:ascii="Times New Roman" w:hAnsi="Times New Roman"/>
                <w:b/>
                <w:bCs/>
                <w:sz w:val="24"/>
                <w:szCs w:val="24"/>
                <w:vertAlign w:val="superscript"/>
                <w:lang w:val="en-US" w:eastAsia="ru-RU"/>
              </w:rPr>
              <w:t>d</w:t>
            </w:r>
          </w:p>
        </w:tc>
        <w:tc>
          <w:tcPr>
            <w:tcW w:w="2967" w:type="dxa"/>
            <w:shd w:val="clear" w:color="auto" w:fill="auto"/>
          </w:tcPr>
          <w:p w14:paraId="23141AD6"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c>
          <w:tcPr>
            <w:tcW w:w="3225" w:type="dxa"/>
            <w:shd w:val="clear" w:color="auto" w:fill="auto"/>
          </w:tcPr>
          <w:p w14:paraId="55563D23"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r>
      <w:tr w:rsidR="00F51CC2" w:rsidRPr="005A46FC" w14:paraId="4658D975" w14:textId="77777777" w:rsidTr="003222B0">
        <w:tc>
          <w:tcPr>
            <w:tcW w:w="3095" w:type="dxa"/>
            <w:shd w:val="clear" w:color="auto" w:fill="auto"/>
          </w:tcPr>
          <w:p w14:paraId="4FCCED34"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Число пациентов с событиями (%)</w:t>
            </w:r>
          </w:p>
        </w:tc>
        <w:tc>
          <w:tcPr>
            <w:tcW w:w="2967" w:type="dxa"/>
            <w:shd w:val="clear" w:color="auto" w:fill="auto"/>
          </w:tcPr>
          <w:p w14:paraId="03B4CFB7"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281 (68%)</w:t>
            </w:r>
          </w:p>
        </w:tc>
        <w:tc>
          <w:tcPr>
            <w:tcW w:w="3225" w:type="dxa"/>
            <w:shd w:val="clear" w:color="auto" w:fill="auto"/>
          </w:tcPr>
          <w:p w14:paraId="4A916191"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286 (69%)</w:t>
            </w:r>
          </w:p>
        </w:tc>
      </w:tr>
      <w:tr w:rsidR="00F51CC2" w:rsidRPr="005A46FC" w14:paraId="5C3CA493" w14:textId="77777777" w:rsidTr="003222B0">
        <w:tc>
          <w:tcPr>
            <w:tcW w:w="3095" w:type="dxa"/>
            <w:shd w:val="clear" w:color="auto" w:fill="auto"/>
          </w:tcPr>
          <w:p w14:paraId="599B38EA"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в месяцах (95% ДИ)</w:t>
            </w:r>
          </w:p>
        </w:tc>
        <w:tc>
          <w:tcPr>
            <w:tcW w:w="2967" w:type="dxa"/>
            <w:shd w:val="clear" w:color="auto" w:fill="auto"/>
          </w:tcPr>
          <w:p w14:paraId="32E359ED"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7.2 (5.7, 7.6)</w:t>
            </w:r>
          </w:p>
        </w:tc>
        <w:tc>
          <w:tcPr>
            <w:tcW w:w="3225" w:type="dxa"/>
            <w:shd w:val="clear" w:color="auto" w:fill="auto"/>
          </w:tcPr>
          <w:p w14:paraId="56FDA8AC"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3.8 (3.6, 4.2)</w:t>
            </w:r>
          </w:p>
        </w:tc>
      </w:tr>
      <w:tr w:rsidR="00F51CC2" w:rsidRPr="005A46FC" w14:paraId="025EB316" w14:textId="77777777" w:rsidTr="003222B0">
        <w:tc>
          <w:tcPr>
            <w:tcW w:w="3095" w:type="dxa"/>
            <w:shd w:val="clear" w:color="auto" w:fill="auto"/>
          </w:tcPr>
          <w:p w14:paraId="1D82904B"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Соотношение рисков</w:t>
            </w:r>
            <w:r w:rsidRPr="005A46FC">
              <w:rPr>
                <w:rFonts w:ascii="Times New Roman" w:hAnsi="Times New Roman"/>
                <w:sz w:val="24"/>
                <w:szCs w:val="24"/>
                <w:vertAlign w:val="superscript"/>
                <w:lang w:eastAsia="ru-RU"/>
              </w:rPr>
              <w:t xml:space="preserve">а </w:t>
            </w:r>
            <w:r w:rsidRPr="005A46FC">
              <w:rPr>
                <w:rFonts w:ascii="Times New Roman" w:hAnsi="Times New Roman"/>
                <w:sz w:val="24"/>
                <w:szCs w:val="24"/>
                <w:lang w:eastAsia="ru-RU"/>
              </w:rPr>
              <w:t>(95% ДИ)</w:t>
            </w:r>
          </w:p>
        </w:tc>
        <w:tc>
          <w:tcPr>
            <w:tcW w:w="6192" w:type="dxa"/>
            <w:gridSpan w:val="2"/>
            <w:shd w:val="clear" w:color="auto" w:fill="auto"/>
          </w:tcPr>
          <w:p w14:paraId="34E64E82"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0.56 (0.47, 0.66)</w:t>
            </w:r>
          </w:p>
        </w:tc>
      </w:tr>
      <w:tr w:rsidR="00F51CC2" w:rsidRPr="005A46FC" w14:paraId="039477A0" w14:textId="77777777" w:rsidTr="003222B0">
        <w:tc>
          <w:tcPr>
            <w:tcW w:w="3095" w:type="dxa"/>
            <w:shd w:val="clear" w:color="auto" w:fill="auto"/>
          </w:tcPr>
          <w:p w14:paraId="06090F03"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Р-значение</w:t>
            </w:r>
            <w:r w:rsidRPr="005A46FC">
              <w:rPr>
                <w:rFonts w:ascii="Times New Roman" w:hAnsi="Times New Roman"/>
                <w:sz w:val="24"/>
                <w:szCs w:val="24"/>
                <w:vertAlign w:val="superscript"/>
                <w:lang w:val="en-US" w:eastAsia="ru-RU"/>
              </w:rPr>
              <w:t>b</w:t>
            </w:r>
          </w:p>
        </w:tc>
        <w:tc>
          <w:tcPr>
            <w:tcW w:w="6192" w:type="dxa"/>
            <w:gridSpan w:val="2"/>
            <w:shd w:val="clear" w:color="auto" w:fill="auto"/>
          </w:tcPr>
          <w:p w14:paraId="2491AC87"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&lt;0.0001</w:t>
            </w:r>
          </w:p>
        </w:tc>
      </w:tr>
      <w:tr w:rsidR="00F51CC2" w:rsidRPr="005A46FC" w14:paraId="4607C0C4" w14:textId="77777777" w:rsidTr="003222B0">
        <w:tc>
          <w:tcPr>
            <w:tcW w:w="3095" w:type="dxa"/>
            <w:shd w:val="clear" w:color="auto" w:fill="auto"/>
          </w:tcPr>
          <w:p w14:paraId="71BDEF61" w14:textId="77777777" w:rsidR="00F51CC2"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Конечная точка</w:t>
            </w:r>
          </w:p>
        </w:tc>
        <w:tc>
          <w:tcPr>
            <w:tcW w:w="2967" w:type="dxa"/>
            <w:shd w:val="clear" w:color="auto" w:fill="auto"/>
          </w:tcPr>
          <w:p w14:paraId="1E9551EA"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c>
          <w:tcPr>
            <w:tcW w:w="3225" w:type="dxa"/>
            <w:shd w:val="clear" w:color="auto" w:fill="auto"/>
          </w:tcPr>
          <w:p w14:paraId="61744F01"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r>
      <w:tr w:rsidR="00F51CC2" w:rsidRPr="005A46FC" w14:paraId="75EFCDF0" w14:textId="77777777" w:rsidTr="003222B0">
        <w:tc>
          <w:tcPr>
            <w:tcW w:w="3095" w:type="dxa"/>
            <w:shd w:val="clear" w:color="auto" w:fill="auto"/>
          </w:tcPr>
          <w:p w14:paraId="327AEC28" w14:textId="77777777" w:rsidR="00F51CC2"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ЧОО</w:t>
            </w:r>
            <w:r w:rsidRPr="005A46FC">
              <w:rPr>
                <w:rFonts w:ascii="Times New Roman" w:hAnsi="Times New Roman"/>
                <w:b/>
                <w:bCs/>
                <w:sz w:val="24"/>
                <w:szCs w:val="24"/>
                <w:vertAlign w:val="superscript"/>
                <w:lang w:val="en-US" w:eastAsia="ru-RU"/>
              </w:rPr>
              <w:t>d</w:t>
            </w:r>
          </w:p>
        </w:tc>
        <w:tc>
          <w:tcPr>
            <w:tcW w:w="2967" w:type="dxa"/>
            <w:shd w:val="clear" w:color="auto" w:fill="auto"/>
          </w:tcPr>
          <w:p w14:paraId="30C282EA"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c>
          <w:tcPr>
            <w:tcW w:w="3225" w:type="dxa"/>
            <w:shd w:val="clear" w:color="auto" w:fill="auto"/>
          </w:tcPr>
          <w:p w14:paraId="31251051"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r>
      <w:tr w:rsidR="00550514" w:rsidRPr="005A46FC" w14:paraId="391F3B6D" w14:textId="77777777" w:rsidTr="003222B0">
        <w:tc>
          <w:tcPr>
            <w:tcW w:w="3095" w:type="dxa"/>
            <w:shd w:val="clear" w:color="auto" w:fill="auto"/>
          </w:tcPr>
          <w:p w14:paraId="0BBC5A37" w14:textId="77777777" w:rsidR="00550514"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ЧОО</w:t>
            </w:r>
            <w:r w:rsidRPr="005A46FC">
              <w:rPr>
                <w:rFonts w:ascii="Times New Roman" w:hAnsi="Times New Roman"/>
                <w:sz w:val="24"/>
                <w:szCs w:val="24"/>
                <w:vertAlign w:val="superscript"/>
                <w:lang w:eastAsia="ru-RU"/>
              </w:rPr>
              <w:t xml:space="preserve">е </w:t>
            </w:r>
            <w:r w:rsidRPr="005A46FC">
              <w:rPr>
                <w:rFonts w:ascii="Times New Roman" w:hAnsi="Times New Roman"/>
                <w:sz w:val="24"/>
                <w:szCs w:val="24"/>
                <w:lang w:eastAsia="ru-RU"/>
              </w:rPr>
              <w:t>(95% ДИ)</w:t>
            </w:r>
          </w:p>
        </w:tc>
        <w:tc>
          <w:tcPr>
            <w:tcW w:w="2967" w:type="dxa"/>
            <w:shd w:val="clear" w:color="auto" w:fill="auto"/>
          </w:tcPr>
          <w:p w14:paraId="53DDA45B" w14:textId="77777777" w:rsidR="00550514"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32% (27, 37)</w:t>
            </w:r>
          </w:p>
        </w:tc>
        <w:tc>
          <w:tcPr>
            <w:tcW w:w="3225" w:type="dxa"/>
            <w:shd w:val="clear" w:color="auto" w:fill="auto"/>
          </w:tcPr>
          <w:p w14:paraId="78F70F9F" w14:textId="77777777" w:rsidR="00550514"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15% (11,18)</w:t>
            </w:r>
          </w:p>
        </w:tc>
      </w:tr>
      <w:tr w:rsidR="00F51CC2" w:rsidRPr="005A46FC" w14:paraId="615560BA" w14:textId="77777777" w:rsidTr="003222B0">
        <w:tc>
          <w:tcPr>
            <w:tcW w:w="3095" w:type="dxa"/>
            <w:shd w:val="clear" w:color="auto" w:fill="auto"/>
          </w:tcPr>
          <w:p w14:paraId="7E379764"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Полный ответ</w:t>
            </w:r>
          </w:p>
        </w:tc>
        <w:tc>
          <w:tcPr>
            <w:tcW w:w="2967" w:type="dxa"/>
            <w:shd w:val="clear" w:color="auto" w:fill="auto"/>
          </w:tcPr>
          <w:p w14:paraId="35B7CC84"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7%</w:t>
            </w:r>
          </w:p>
        </w:tc>
        <w:tc>
          <w:tcPr>
            <w:tcW w:w="3225" w:type="dxa"/>
            <w:shd w:val="clear" w:color="auto" w:fill="auto"/>
          </w:tcPr>
          <w:p w14:paraId="672DC116"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w:t>
            </w:r>
          </w:p>
        </w:tc>
      </w:tr>
      <w:tr w:rsidR="00F51CC2" w:rsidRPr="005A46FC" w14:paraId="76A33DD2" w14:textId="77777777" w:rsidTr="003222B0">
        <w:tc>
          <w:tcPr>
            <w:tcW w:w="3095" w:type="dxa"/>
            <w:shd w:val="clear" w:color="auto" w:fill="auto"/>
          </w:tcPr>
          <w:p w14:paraId="236CA374"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Частичный ответ</w:t>
            </w:r>
          </w:p>
        </w:tc>
        <w:tc>
          <w:tcPr>
            <w:tcW w:w="2967" w:type="dxa"/>
            <w:shd w:val="clear" w:color="auto" w:fill="auto"/>
          </w:tcPr>
          <w:p w14:paraId="19C7517D"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25%</w:t>
            </w:r>
          </w:p>
        </w:tc>
        <w:tc>
          <w:tcPr>
            <w:tcW w:w="3225" w:type="dxa"/>
            <w:shd w:val="clear" w:color="auto" w:fill="auto"/>
          </w:tcPr>
          <w:p w14:paraId="0E8DF2AB"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12%</w:t>
            </w:r>
          </w:p>
        </w:tc>
      </w:tr>
      <w:tr w:rsidR="00F51CC2" w:rsidRPr="005A46FC" w14:paraId="2A7FC825" w14:textId="77777777" w:rsidTr="003222B0">
        <w:tc>
          <w:tcPr>
            <w:tcW w:w="3095" w:type="dxa"/>
            <w:shd w:val="clear" w:color="auto" w:fill="auto"/>
          </w:tcPr>
          <w:p w14:paraId="6F8787DD"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Р-значение</w:t>
            </w:r>
            <w:r w:rsidRPr="005A46FC">
              <w:rPr>
                <w:rFonts w:ascii="Times New Roman" w:hAnsi="Times New Roman"/>
                <w:sz w:val="24"/>
                <w:szCs w:val="24"/>
                <w:vertAlign w:val="superscript"/>
                <w:lang w:val="en-US" w:eastAsia="ru-RU"/>
              </w:rPr>
              <w:t>f</w:t>
            </w:r>
          </w:p>
        </w:tc>
        <w:tc>
          <w:tcPr>
            <w:tcW w:w="6192" w:type="dxa"/>
            <w:gridSpan w:val="2"/>
            <w:shd w:val="clear" w:color="auto" w:fill="auto"/>
          </w:tcPr>
          <w:p w14:paraId="3D741CC0"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&lt;0.0001</w:t>
            </w:r>
          </w:p>
        </w:tc>
      </w:tr>
      <w:tr w:rsidR="00F51CC2" w:rsidRPr="005A46FC" w14:paraId="730CAA00" w14:textId="77777777" w:rsidTr="003222B0">
        <w:tc>
          <w:tcPr>
            <w:tcW w:w="3095" w:type="dxa"/>
            <w:shd w:val="clear" w:color="auto" w:fill="auto"/>
          </w:tcPr>
          <w:p w14:paraId="032DF77B"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val="en-US" w:eastAsia="ru-RU"/>
              </w:rPr>
            </w:pPr>
            <w:r w:rsidRPr="005A46FC">
              <w:rPr>
                <w:rFonts w:ascii="Times New Roman" w:hAnsi="Times New Roman"/>
                <w:sz w:val="24"/>
                <w:szCs w:val="24"/>
                <w:lang w:eastAsia="ru-RU"/>
              </w:rPr>
              <w:t>Длительность ответа</w:t>
            </w:r>
            <w:r w:rsidRPr="005A46FC">
              <w:rPr>
                <w:rFonts w:ascii="Times New Roman" w:hAnsi="Times New Roman"/>
                <w:sz w:val="24"/>
                <w:szCs w:val="24"/>
                <w:vertAlign w:val="superscript"/>
                <w:lang w:val="en-US" w:eastAsia="ru-RU"/>
              </w:rPr>
              <w:t>d</w:t>
            </w:r>
          </w:p>
        </w:tc>
        <w:tc>
          <w:tcPr>
            <w:tcW w:w="2967" w:type="dxa"/>
            <w:shd w:val="clear" w:color="auto" w:fill="auto"/>
          </w:tcPr>
          <w:p w14:paraId="157BDA77"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c>
          <w:tcPr>
            <w:tcW w:w="3225" w:type="dxa"/>
            <w:shd w:val="clear" w:color="auto" w:fill="auto"/>
          </w:tcPr>
          <w:p w14:paraId="4B78C439"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r>
      <w:tr w:rsidR="00F51CC2" w:rsidRPr="005A46FC" w14:paraId="0D279BDD" w14:textId="77777777" w:rsidTr="003222B0">
        <w:tc>
          <w:tcPr>
            <w:tcW w:w="3095" w:type="dxa"/>
            <w:shd w:val="clear" w:color="auto" w:fill="auto"/>
          </w:tcPr>
          <w:p w14:paraId="47E2C666"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в месяцах</w:t>
            </w:r>
            <w:r w:rsidRPr="005A46FC">
              <w:rPr>
                <w:rFonts w:ascii="Times New Roman" w:hAnsi="Times New Roman"/>
                <w:sz w:val="24"/>
                <w:szCs w:val="24"/>
                <w:vertAlign w:val="superscript"/>
                <w:lang w:val="en-US" w:eastAsia="ru-RU"/>
              </w:rPr>
              <w:t>d</w:t>
            </w:r>
            <w:r w:rsidRPr="005A46FC">
              <w:rPr>
                <w:rFonts w:ascii="Times New Roman" w:hAnsi="Times New Roman"/>
                <w:sz w:val="24"/>
                <w:szCs w:val="24"/>
                <w:lang w:eastAsia="ru-RU"/>
              </w:rPr>
              <w:t xml:space="preserve"> (диапазон)</w:t>
            </w:r>
          </w:p>
        </w:tc>
        <w:tc>
          <w:tcPr>
            <w:tcW w:w="2967" w:type="dxa"/>
            <w:shd w:val="clear" w:color="auto" w:fill="auto"/>
          </w:tcPr>
          <w:p w14:paraId="61E20F65"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14.4 (1.6+, 23.7+)</w:t>
            </w:r>
          </w:p>
        </w:tc>
        <w:tc>
          <w:tcPr>
            <w:tcW w:w="3225" w:type="dxa"/>
            <w:shd w:val="clear" w:color="auto" w:fill="auto"/>
          </w:tcPr>
          <w:p w14:paraId="38757573"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5.7 (0.0+, 24.2+)</w:t>
            </w:r>
          </w:p>
        </w:tc>
      </w:tr>
      <w:tr w:rsidR="00F51CC2" w:rsidRPr="005A46FC" w14:paraId="428F3325" w14:textId="77777777" w:rsidTr="003222B0">
        <w:tc>
          <w:tcPr>
            <w:tcW w:w="9287" w:type="dxa"/>
            <w:gridSpan w:val="3"/>
            <w:shd w:val="clear" w:color="auto" w:fill="auto"/>
          </w:tcPr>
          <w:p w14:paraId="43933404"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t>a</w:t>
            </w:r>
            <w:r w:rsidRPr="005A46FC">
              <w:rPr>
                <w:rFonts w:ascii="Times New Roman" w:hAnsi="Times New Roman"/>
                <w:sz w:val="24"/>
                <w:szCs w:val="24"/>
                <w:lang w:eastAsia="ru-RU"/>
              </w:rPr>
              <w:t>Основан на стратифицированной модели регрессии Кокса</w:t>
            </w:r>
          </w:p>
          <w:p w14:paraId="013F6947"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t>b</w:t>
            </w:r>
            <w:r w:rsidRPr="005A46FC">
              <w:rPr>
                <w:rFonts w:ascii="Times New Roman" w:hAnsi="Times New Roman"/>
                <w:sz w:val="24"/>
                <w:szCs w:val="24"/>
                <w:lang w:eastAsia="ru-RU"/>
              </w:rPr>
              <w:t>Одностороннее номинальное p-значение на основе стратифицированного логарифмического рангового критерия (конечный анализ). При предварительно заданном промежуточном анализе ОВ с медианой времени наблюдения 11,4 месяцев (диапазон: от 0,3 до 26,9 месяцев) было достигнуто статистически значимое превосходство ОВ по сравнению с комбинацией ленватиниба и пембролизумаба с доксорубицином или паклитакселом (соотношение рисков: 0.62 [95% ДИ: 0.51, 0.75] p-значение &lt;0,0001).</w:t>
            </w:r>
          </w:p>
          <w:p w14:paraId="78B68AE0"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t>c</w:t>
            </w:r>
            <w:r w:rsidRPr="005A46FC">
              <w:rPr>
                <w:rFonts w:ascii="Times New Roman" w:hAnsi="Times New Roman"/>
                <w:sz w:val="24"/>
                <w:szCs w:val="24"/>
                <w:lang w:eastAsia="ru-RU"/>
              </w:rPr>
              <w:t>Одностороннее p-значение на основе стратифицированного логарифмического рангового критерия</w:t>
            </w:r>
          </w:p>
          <w:p w14:paraId="0DFABB86"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t>d</w:t>
            </w:r>
            <w:r w:rsidRPr="005A46FC">
              <w:rPr>
                <w:rFonts w:ascii="Times New Roman" w:hAnsi="Times New Roman"/>
                <w:sz w:val="24"/>
                <w:szCs w:val="24"/>
                <w:lang w:eastAsia="ru-RU"/>
              </w:rPr>
              <w:t>При предварительном промежуточном анализе</w:t>
            </w:r>
          </w:p>
          <w:p w14:paraId="66F8C457"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t>e</w:t>
            </w:r>
            <w:r w:rsidRPr="005A46FC">
              <w:rPr>
                <w:rFonts w:ascii="Times New Roman" w:hAnsi="Times New Roman"/>
                <w:sz w:val="24"/>
                <w:szCs w:val="24"/>
                <w:lang w:eastAsia="ru-RU"/>
              </w:rPr>
              <w:t>Ответ: лучший объективный ответ как подтвержденный полный или частичный ответ.</w:t>
            </w:r>
          </w:p>
          <w:p w14:paraId="70913470"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t>f</w:t>
            </w:r>
            <w:r w:rsidRPr="005A46FC">
              <w:rPr>
                <w:rFonts w:ascii="Times New Roman" w:hAnsi="Times New Roman"/>
                <w:sz w:val="24"/>
                <w:szCs w:val="24"/>
                <w:lang w:eastAsia="ru-RU"/>
              </w:rPr>
              <w:t>На основе метода Миеттинена и Нурминена, стратифицированного по функциональному статусу ECOG, географическому региону и истории облучения таза.</w:t>
            </w:r>
          </w:p>
          <w:p w14:paraId="0D95B00A"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lastRenderedPageBreak/>
              <w:t>g</w:t>
            </w:r>
            <w:r w:rsidR="003947E5" w:rsidRPr="005A46FC">
              <w:rPr>
                <w:rFonts w:ascii="Times New Roman" w:hAnsi="Times New Roman"/>
                <w:sz w:val="24"/>
                <w:szCs w:val="24"/>
                <w:lang w:eastAsia="ru-RU"/>
              </w:rPr>
              <w:t xml:space="preserve">На основании </w:t>
            </w:r>
            <w:r w:rsidRPr="005A46FC">
              <w:rPr>
                <w:rFonts w:ascii="Times New Roman" w:hAnsi="Times New Roman"/>
                <w:sz w:val="24"/>
                <w:szCs w:val="24"/>
                <w:lang w:eastAsia="ru-RU"/>
              </w:rPr>
              <w:t>оценк</w:t>
            </w:r>
            <w:r w:rsidR="003947E5" w:rsidRPr="005A46FC">
              <w:rPr>
                <w:rFonts w:ascii="Times New Roman" w:hAnsi="Times New Roman"/>
                <w:sz w:val="24"/>
                <w:szCs w:val="24"/>
                <w:lang w:eastAsia="ru-RU"/>
              </w:rPr>
              <w:t>и</w:t>
            </w:r>
            <w:r w:rsidRPr="005A46FC">
              <w:rPr>
                <w:rFonts w:ascii="Times New Roman" w:hAnsi="Times New Roman"/>
                <w:sz w:val="24"/>
                <w:szCs w:val="24"/>
                <w:lang w:eastAsia="ru-RU"/>
              </w:rPr>
              <w:t xml:space="preserve"> Каплана-Мейера</w:t>
            </w:r>
          </w:p>
        </w:tc>
      </w:tr>
    </w:tbl>
    <w:p w14:paraId="0AA9DF2C"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p>
    <w:p w14:paraId="31E34E76" w14:textId="77777777" w:rsidR="003947E5" w:rsidRPr="005A46FC" w:rsidRDefault="003947E5" w:rsidP="00550514">
      <w:pPr>
        <w:autoSpaceDE w:val="0"/>
        <w:autoSpaceDN w:val="0"/>
        <w:adjustRightInd w:val="0"/>
        <w:spacing w:after="0" w:line="240" w:lineRule="auto"/>
        <w:jc w:val="both"/>
        <w:rPr>
          <w:rFonts w:ascii="Times New Roman" w:hAnsi="Times New Roman"/>
          <w:sz w:val="24"/>
          <w:szCs w:val="24"/>
          <w:lang w:eastAsia="ru-RU"/>
        </w:rPr>
      </w:pPr>
    </w:p>
    <w:p w14:paraId="7845D689" w14:textId="77777777" w:rsidR="003947E5" w:rsidRPr="005A46FC" w:rsidRDefault="003947E5" w:rsidP="00550514">
      <w:pPr>
        <w:autoSpaceDE w:val="0"/>
        <w:autoSpaceDN w:val="0"/>
        <w:adjustRightInd w:val="0"/>
        <w:spacing w:after="0" w:line="240" w:lineRule="auto"/>
        <w:jc w:val="both"/>
        <w:rPr>
          <w:rFonts w:ascii="Times New Roman" w:hAnsi="Times New Roman"/>
          <w:sz w:val="24"/>
          <w:szCs w:val="24"/>
          <w:lang w:eastAsia="ru-RU"/>
        </w:rPr>
      </w:pPr>
    </w:p>
    <w:p w14:paraId="2A444586" w14:textId="77777777" w:rsidR="005B5FFD" w:rsidRPr="005A46FC" w:rsidRDefault="005B5FFD" w:rsidP="00550514">
      <w:pPr>
        <w:autoSpaceDE w:val="0"/>
        <w:autoSpaceDN w:val="0"/>
        <w:adjustRightInd w:val="0"/>
        <w:spacing w:after="0" w:line="240" w:lineRule="auto"/>
        <w:jc w:val="both"/>
        <w:rPr>
          <w:rFonts w:ascii="Times New Roman" w:hAnsi="Times New Roman"/>
          <w:sz w:val="24"/>
          <w:szCs w:val="24"/>
          <w:lang w:eastAsia="ru-RU"/>
        </w:rPr>
      </w:pPr>
    </w:p>
    <w:p w14:paraId="182BF3FC" w14:textId="77777777" w:rsidR="005B5FFD" w:rsidRPr="005A46FC" w:rsidRDefault="005B5FFD" w:rsidP="00550514">
      <w:pPr>
        <w:autoSpaceDE w:val="0"/>
        <w:autoSpaceDN w:val="0"/>
        <w:adjustRightInd w:val="0"/>
        <w:spacing w:after="0" w:line="240" w:lineRule="auto"/>
        <w:jc w:val="both"/>
        <w:rPr>
          <w:rFonts w:ascii="Times New Roman" w:hAnsi="Times New Roman"/>
          <w:sz w:val="24"/>
          <w:szCs w:val="24"/>
          <w:lang w:eastAsia="ru-RU"/>
        </w:rPr>
      </w:pPr>
    </w:p>
    <w:p w14:paraId="693BB6E7" w14:textId="77777777" w:rsidR="003947E5" w:rsidRPr="005A46FC" w:rsidRDefault="005B5FFD" w:rsidP="00550514">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Рисунок 3. Кривая Каплана-Мейера при общей выживаемости в исследовании 309*</w:t>
      </w:r>
    </w:p>
    <w:p w14:paraId="32E4AA23" w14:textId="77777777" w:rsidR="005B5FFD" w:rsidRPr="005A46FC" w:rsidRDefault="005B5FFD" w:rsidP="00550514">
      <w:pPr>
        <w:autoSpaceDE w:val="0"/>
        <w:autoSpaceDN w:val="0"/>
        <w:adjustRightInd w:val="0"/>
        <w:spacing w:after="0" w:line="240" w:lineRule="auto"/>
        <w:jc w:val="both"/>
        <w:rPr>
          <w:rFonts w:ascii="Times New Roman" w:hAnsi="Times New Roman"/>
          <w:sz w:val="24"/>
          <w:szCs w:val="24"/>
          <w:lang w:eastAsia="ru-RU"/>
        </w:rPr>
      </w:pPr>
    </w:p>
    <w:p w14:paraId="095FE1FA" w14:textId="77777777" w:rsidR="003947E5" w:rsidRPr="005A46FC" w:rsidRDefault="000B247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6A232A75" wp14:editId="6220CC81">
                <wp:simplePos x="0" y="0"/>
                <wp:positionH relativeFrom="column">
                  <wp:posOffset>-321945</wp:posOffset>
                </wp:positionH>
                <wp:positionV relativeFrom="paragraph">
                  <wp:posOffset>440055</wp:posOffset>
                </wp:positionV>
                <wp:extent cx="320675" cy="146240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462405"/>
                        </a:xfrm>
                        <a:prstGeom prst="rect">
                          <a:avLst/>
                        </a:prstGeom>
                        <a:solidFill>
                          <a:srgbClr val="FFFFFF"/>
                        </a:solidFill>
                        <a:ln>
                          <a:noFill/>
                        </a:ln>
                      </wps:spPr>
                      <wps:txbx>
                        <w:txbxContent>
                          <w:p w14:paraId="2D884FAB" w14:textId="77777777" w:rsidR="00F81D8A" w:rsidRDefault="00F81D8A" w:rsidP="00F81D8A">
                            <w:pPr>
                              <w:jc w:val="center"/>
                              <w:rPr>
                                <w:rFonts w:ascii="Times New Roman" w:hAnsi="Times New Roman"/>
                                <w:b/>
                                <w:sz w:val="20"/>
                                <w:szCs w:val="32"/>
                              </w:rPr>
                            </w:pPr>
                            <w:r w:rsidRPr="00842576">
                              <w:rPr>
                                <w:rFonts w:ascii="Times New Roman" w:hAnsi="Times New Roman"/>
                                <w:b/>
                                <w:sz w:val="20"/>
                                <w:szCs w:val="32"/>
                              </w:rPr>
                              <w:t>Вероятность</w:t>
                            </w:r>
                            <w:r>
                              <w:rPr>
                                <w:rFonts w:ascii="Times New Roman" w:hAnsi="Times New Roman"/>
                                <w:b/>
                                <w:sz w:val="20"/>
                                <w:szCs w:val="32"/>
                              </w:rPr>
                              <w:t xml:space="preserve"> выживаемости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32A75" id="_x0000_s1030" type="#_x0000_t202" style="position:absolute;left:0;text-align:left;margin-left:-25.35pt;margin-top:34.65pt;width:25.25pt;height:1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" stroked="f">
                <v:textbox style="layout-flow:vertical;mso-layout-flow-alt:bottom-to-top" inset="0,0,0,0">
                  <w:txbxContent>
                    <w:p w14:paraId="2D884FAB" w14:textId="77777777" w:rsidR="00F81D8A" w:rsidRDefault="00F81D8A" w:rsidP="00F81D8A">
                      <w:pPr>
                        <w:jc w:val="center"/>
                        <w:rPr>
                          <w:rFonts w:ascii="Times New Roman" w:hAnsi="Times New Roman"/>
                          <w:b/>
                          <w:sz w:val="20"/>
                          <w:szCs w:val="32"/>
                        </w:rPr>
                      </w:pPr>
                      <w:r w:rsidRPr="00842576">
                        <w:rPr>
                          <w:rFonts w:ascii="Times New Roman" w:hAnsi="Times New Roman"/>
                          <w:b/>
                          <w:sz w:val="20"/>
                          <w:szCs w:val="32"/>
                        </w:rPr>
                        <w:t>Вероятность</w:t>
                      </w:r>
                      <w:r>
                        <w:rPr>
                          <w:rFonts w:ascii="Times New Roman" w:hAnsi="Times New Roman"/>
                          <w:b/>
                          <w:sz w:val="20"/>
                          <w:szCs w:val="32"/>
                        </w:rPr>
                        <w:t xml:space="preserve"> выживаемости</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7216" behindDoc="0" locked="0" layoutInCell="1" allowOverlap="1" wp14:anchorId="1F525053" wp14:editId="33E0435D">
                <wp:simplePos x="0" y="0"/>
                <wp:positionH relativeFrom="column">
                  <wp:posOffset>2223135</wp:posOffset>
                </wp:positionH>
                <wp:positionV relativeFrom="paragraph">
                  <wp:posOffset>1625600</wp:posOffset>
                </wp:positionV>
                <wp:extent cx="597535" cy="29654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96545"/>
                        </a:xfrm>
                        <a:prstGeom prst="rect">
                          <a:avLst/>
                        </a:prstGeom>
                        <a:solidFill>
                          <a:srgbClr val="FFFFFF"/>
                        </a:solidFill>
                        <a:ln>
                          <a:noFill/>
                        </a:ln>
                      </wps:spPr>
                      <wps:txbx>
                        <w:txbxContent>
                          <w:p w14:paraId="7E27D151" w14:textId="77777777" w:rsidR="005B5FFD" w:rsidRPr="005B5FFD" w:rsidRDefault="005B5FFD"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rPr>
                              <w:t xml:space="preserve">Степень общей </w:t>
                            </w:r>
                          </w:p>
                          <w:p w14:paraId="58960863" w14:textId="77777777" w:rsidR="005B5FFD" w:rsidRPr="005B5FFD" w:rsidRDefault="005B5FFD"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rPr>
                              <w:t>выживаемости</w:t>
                            </w:r>
                          </w:p>
                          <w:p w14:paraId="0ECC9077" w14:textId="77777777" w:rsidR="005B5FFD" w:rsidRPr="005B5FFD" w:rsidRDefault="005B5FFD"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rPr>
                              <w:t xml:space="preserve">через </w:t>
                            </w:r>
                            <w:r>
                              <w:rPr>
                                <w:rFonts w:ascii="Times New Roman" w:hAnsi="Times New Roman"/>
                                <w:b/>
                                <w:bCs/>
                                <w:color w:val="000000"/>
                                <w:sz w:val="12"/>
                                <w:szCs w:val="20"/>
                              </w:rPr>
                              <w:t>24</w:t>
                            </w:r>
                            <w:r w:rsidRPr="005B5FFD">
                              <w:rPr>
                                <w:rFonts w:ascii="Times New Roman" w:hAnsi="Times New Roman"/>
                                <w:b/>
                                <w:bCs/>
                                <w:color w:val="000000"/>
                                <w:sz w:val="12"/>
                                <w:szCs w:val="20"/>
                              </w:rPr>
                              <w:t xml:space="preserve"> месяц</w:t>
                            </w:r>
                            <w:r>
                              <w:rPr>
                                <w:rFonts w:ascii="Times New Roman" w:hAnsi="Times New Roman"/>
                                <w:b/>
                                <w:bCs/>
                                <w:color w:val="000000"/>
                                <w:sz w:val="12"/>
                                <w:szCs w:val="20"/>
                              </w:rPr>
                              <w:t>а</w:t>
                            </w:r>
                          </w:p>
                          <w:p w14:paraId="58CED82E" w14:textId="77777777" w:rsidR="005B5FFD" w:rsidRPr="005B5FFD" w:rsidRDefault="005B5FFD" w:rsidP="005B5FFD">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25053" id="_x0000_s1031" type="#_x0000_t202" style="position:absolute;left:0;text-align:left;margin-left:175.05pt;margin-top:128pt;width:47.05pt;height:2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" stroked="f">
                <v:textbox inset="0,0,0,0">
                  <w:txbxContent>
                    <w:p w14:paraId="7E27D151" w14:textId="77777777" w:rsidR="005B5FFD" w:rsidRPr="005B5FFD" w:rsidRDefault="005B5FFD"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rPr>
                        <w:t xml:space="preserve">Степень общей </w:t>
                      </w:r>
                    </w:p>
                    <w:p w14:paraId="58960863" w14:textId="77777777" w:rsidR="005B5FFD" w:rsidRPr="005B5FFD" w:rsidRDefault="005B5FFD"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rPr>
                        <w:t>выживаемости</w:t>
                      </w:r>
                    </w:p>
                    <w:p w14:paraId="0ECC9077" w14:textId="77777777" w:rsidR="005B5FFD" w:rsidRPr="005B5FFD" w:rsidRDefault="005B5FFD"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rPr>
                        <w:t xml:space="preserve">через </w:t>
                      </w:r>
                      <w:r>
                        <w:rPr>
                          <w:rFonts w:ascii="Times New Roman" w:hAnsi="Times New Roman"/>
                          <w:b/>
                          <w:bCs/>
                          <w:color w:val="000000"/>
                          <w:sz w:val="12"/>
                          <w:szCs w:val="20"/>
                        </w:rPr>
                        <w:t>24</w:t>
                      </w:r>
                      <w:r w:rsidRPr="005B5FFD">
                        <w:rPr>
                          <w:rFonts w:ascii="Times New Roman" w:hAnsi="Times New Roman"/>
                          <w:b/>
                          <w:bCs/>
                          <w:color w:val="000000"/>
                          <w:sz w:val="12"/>
                          <w:szCs w:val="20"/>
                        </w:rPr>
                        <w:t xml:space="preserve"> месяц</w:t>
                      </w:r>
                      <w:r>
                        <w:rPr>
                          <w:rFonts w:ascii="Times New Roman" w:hAnsi="Times New Roman"/>
                          <w:b/>
                          <w:bCs/>
                          <w:color w:val="000000"/>
                          <w:sz w:val="12"/>
                          <w:szCs w:val="20"/>
                        </w:rPr>
                        <w:t>а</w:t>
                      </w:r>
                    </w:p>
                    <w:p w14:paraId="58CED82E" w14:textId="77777777" w:rsidR="005B5FFD" w:rsidRPr="005B5FFD" w:rsidRDefault="005B5FFD" w:rsidP="005B5FFD">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6192" behindDoc="0" locked="0" layoutInCell="1" allowOverlap="1" wp14:anchorId="3D851E01" wp14:editId="36DCD053">
                <wp:simplePos x="0" y="0"/>
                <wp:positionH relativeFrom="column">
                  <wp:posOffset>1570990</wp:posOffset>
                </wp:positionH>
                <wp:positionV relativeFrom="paragraph">
                  <wp:posOffset>1624965</wp:posOffset>
                </wp:positionV>
                <wp:extent cx="597535" cy="29654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96545"/>
                        </a:xfrm>
                        <a:prstGeom prst="rect">
                          <a:avLst/>
                        </a:prstGeom>
                        <a:solidFill>
                          <a:srgbClr val="FFFFFF"/>
                        </a:solidFill>
                        <a:ln>
                          <a:noFill/>
                        </a:ln>
                      </wps:spPr>
                      <wps:txbx>
                        <w:txbxContent>
                          <w:p w14:paraId="7A586EC0" w14:textId="77777777" w:rsidR="005B5FFD" w:rsidRPr="003222B0" w:rsidRDefault="005B5FFD"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rPr>
                              <w:t xml:space="preserve">Степень общей </w:t>
                            </w:r>
                          </w:p>
                          <w:p w14:paraId="2D9DADB8" w14:textId="77777777" w:rsidR="005B5FFD" w:rsidRPr="003222B0" w:rsidRDefault="005B5FFD"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rPr>
                              <w:t>выживаемости</w:t>
                            </w:r>
                          </w:p>
                          <w:p w14:paraId="151E29F6" w14:textId="77777777" w:rsidR="005B5FFD" w:rsidRPr="003222B0" w:rsidRDefault="005B5FFD"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rPr>
                              <w:t>через 12 месяцев</w:t>
                            </w:r>
                          </w:p>
                          <w:p w14:paraId="413C8C19" w14:textId="77777777" w:rsidR="005B5FFD" w:rsidRPr="005B5FFD" w:rsidRDefault="005B5FFD" w:rsidP="005B5FFD">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51E01" id="_x0000_s1032" type="#_x0000_t202" style="position:absolute;left:0;text-align:left;margin-left:123.7pt;margin-top:127.95pt;width:47.05pt;height:2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" stroked="f">
                <v:textbox inset="0,0,0,0">
                  <w:txbxContent>
                    <w:p w14:paraId="7A586EC0" w14:textId="77777777" w:rsidR="005B5FFD" w:rsidRPr="003222B0" w:rsidRDefault="005B5FFD"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rPr>
                        <w:t xml:space="preserve">Степень общей </w:t>
                      </w:r>
                    </w:p>
                    <w:p w14:paraId="2D9DADB8" w14:textId="77777777" w:rsidR="005B5FFD" w:rsidRPr="003222B0" w:rsidRDefault="005B5FFD"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rPr>
                        <w:t>выживаемости</w:t>
                      </w:r>
                    </w:p>
                    <w:p w14:paraId="151E29F6" w14:textId="77777777" w:rsidR="005B5FFD" w:rsidRPr="003222B0" w:rsidRDefault="005B5FFD"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rPr>
                        <w:t>через 12 месяцев</w:t>
                      </w:r>
                    </w:p>
                    <w:p w14:paraId="413C8C19" w14:textId="77777777" w:rsidR="005B5FFD" w:rsidRPr="005B5FFD" w:rsidRDefault="005B5FFD" w:rsidP="005B5FFD">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5168" behindDoc="0" locked="0" layoutInCell="1" allowOverlap="1" wp14:anchorId="5030D053" wp14:editId="7BB4E7A0">
                <wp:simplePos x="0" y="0"/>
                <wp:positionH relativeFrom="column">
                  <wp:posOffset>1739265</wp:posOffset>
                </wp:positionH>
                <wp:positionV relativeFrom="paragraph">
                  <wp:posOffset>1959610</wp:posOffset>
                </wp:positionV>
                <wp:extent cx="1346835" cy="21844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18440"/>
                        </a:xfrm>
                        <a:prstGeom prst="rect">
                          <a:avLst/>
                        </a:prstGeom>
                        <a:solidFill>
                          <a:srgbClr val="FFFFFF"/>
                        </a:solidFill>
                        <a:ln>
                          <a:noFill/>
                        </a:ln>
                      </wps:spPr>
                      <wps:txbx>
                        <w:txbxContent>
                          <w:p w14:paraId="452664FF" w14:textId="77777777" w:rsidR="003947E5" w:rsidRPr="003947E5" w:rsidRDefault="003947E5" w:rsidP="003947E5">
                            <w:pPr>
                              <w:spacing w:after="0" w:line="240" w:lineRule="auto"/>
                              <w:rPr>
                                <w:rFonts w:ascii="Times New Roman" w:hAnsi="Times New Roman"/>
                                <w:color w:val="FF0000"/>
                                <w:sz w:val="12"/>
                                <w:szCs w:val="20"/>
                              </w:rPr>
                            </w:pPr>
                            <w:r w:rsidRPr="003947E5">
                              <w:rPr>
                                <w:rFonts w:ascii="Times New Roman" w:hAnsi="Times New Roman"/>
                                <w:color w:val="FF0000"/>
                                <w:sz w:val="12"/>
                                <w:szCs w:val="20"/>
                              </w:rPr>
                              <w:t xml:space="preserve">63%                     41% </w:t>
                            </w:r>
                          </w:p>
                          <w:p w14:paraId="6CFD550A" w14:textId="77777777" w:rsidR="003947E5" w:rsidRPr="003947E5" w:rsidRDefault="003947E5" w:rsidP="003947E5">
                            <w:pPr>
                              <w:spacing w:after="0" w:line="240" w:lineRule="auto"/>
                              <w:rPr>
                                <w:rFonts w:ascii="Times New Roman" w:hAnsi="Times New Roman"/>
                                <w:sz w:val="12"/>
                                <w:szCs w:val="20"/>
                              </w:rPr>
                            </w:pPr>
                            <w:r w:rsidRPr="003222B0">
                              <w:rPr>
                                <w:rFonts w:ascii="Times New Roman" w:hAnsi="Times New Roman"/>
                                <w:color w:val="000000"/>
                                <w:sz w:val="12"/>
                                <w:szCs w:val="20"/>
                              </w:rPr>
                              <w:t>49%</w:t>
                            </w:r>
                            <w:r w:rsidRPr="003947E5">
                              <w:rPr>
                                <w:rFonts w:ascii="Times New Roman" w:hAnsi="Times New Roman"/>
                                <w:color w:val="FF0000"/>
                                <w:sz w:val="12"/>
                                <w:szCs w:val="20"/>
                              </w:rPr>
                              <w:t xml:space="preserve">                     </w:t>
                            </w:r>
                            <w:r w:rsidRPr="003222B0">
                              <w:rPr>
                                <w:rFonts w:ascii="Times New Roman" w:hAnsi="Times New Roman"/>
                                <w:color w:val="000000"/>
                                <w:sz w:val="12"/>
                                <w:szCs w:val="20"/>
                              </w:rPr>
                              <w:t>23%</w:t>
                            </w:r>
                            <w:r w:rsidRPr="003947E5">
                              <w:rPr>
                                <w:rFonts w:ascii="Times New Roman" w:hAnsi="Times New Roman"/>
                                <w:color w:val="FF0000"/>
                                <w:sz w:val="12"/>
                                <w:szCs w:val="20"/>
                              </w:rPr>
                              <w:t xml:space="preserve"> </w:t>
                            </w:r>
                            <w:r w:rsidRPr="003947E5">
                              <w:rPr>
                                <w:rFonts w:ascii="Times New Roman" w:hAnsi="Times New Roman"/>
                                <w:sz w:val="12"/>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0D053" id="_x0000_s1033" type="#_x0000_t202" style="position:absolute;left:0;text-align:left;margin-left:136.95pt;margin-top:154.3pt;width:106.05pt;height:1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" stroked="f">
                <v:textbox inset="0,0,0,0">
                  <w:txbxContent>
                    <w:p w14:paraId="452664FF" w14:textId="77777777" w:rsidR="003947E5" w:rsidRPr="003947E5" w:rsidRDefault="003947E5" w:rsidP="003947E5">
                      <w:pPr>
                        <w:spacing w:after="0" w:line="240" w:lineRule="auto"/>
                        <w:rPr>
                          <w:rFonts w:ascii="Times New Roman" w:hAnsi="Times New Roman"/>
                          <w:color w:val="FF0000"/>
                          <w:sz w:val="12"/>
                          <w:szCs w:val="20"/>
                        </w:rPr>
                      </w:pPr>
                      <w:r w:rsidRPr="003947E5">
                        <w:rPr>
                          <w:rFonts w:ascii="Times New Roman" w:hAnsi="Times New Roman"/>
                          <w:color w:val="FF0000"/>
                          <w:sz w:val="12"/>
                          <w:szCs w:val="20"/>
                        </w:rPr>
                        <w:t xml:space="preserve">63%                     41% </w:t>
                      </w:r>
                    </w:p>
                    <w:p w14:paraId="6CFD550A" w14:textId="77777777" w:rsidR="003947E5" w:rsidRPr="003947E5" w:rsidRDefault="003947E5" w:rsidP="003947E5">
                      <w:pPr>
                        <w:spacing w:after="0" w:line="240" w:lineRule="auto"/>
                        <w:rPr>
                          <w:rFonts w:ascii="Times New Roman" w:hAnsi="Times New Roman"/>
                          <w:sz w:val="12"/>
                          <w:szCs w:val="20"/>
                        </w:rPr>
                      </w:pPr>
                      <w:r w:rsidRPr="003222B0">
                        <w:rPr>
                          <w:rFonts w:ascii="Times New Roman" w:hAnsi="Times New Roman"/>
                          <w:color w:val="000000"/>
                          <w:sz w:val="12"/>
                          <w:szCs w:val="20"/>
                        </w:rPr>
                        <w:t>49%</w:t>
                      </w:r>
                      <w:r w:rsidRPr="003947E5">
                        <w:rPr>
                          <w:rFonts w:ascii="Times New Roman" w:hAnsi="Times New Roman"/>
                          <w:color w:val="FF0000"/>
                          <w:sz w:val="12"/>
                          <w:szCs w:val="20"/>
                        </w:rPr>
                        <w:t xml:space="preserve">                     </w:t>
                      </w:r>
                      <w:r w:rsidRPr="003222B0">
                        <w:rPr>
                          <w:rFonts w:ascii="Times New Roman" w:hAnsi="Times New Roman"/>
                          <w:color w:val="000000"/>
                          <w:sz w:val="12"/>
                          <w:szCs w:val="20"/>
                        </w:rPr>
                        <w:t>23%</w:t>
                      </w:r>
                      <w:r w:rsidRPr="003947E5">
                        <w:rPr>
                          <w:rFonts w:ascii="Times New Roman" w:hAnsi="Times New Roman"/>
                          <w:color w:val="FF0000"/>
                          <w:sz w:val="12"/>
                          <w:szCs w:val="20"/>
                        </w:rPr>
                        <w:t xml:space="preserve"> </w:t>
                      </w:r>
                      <w:r w:rsidRPr="003947E5">
                        <w:rPr>
                          <w:rFonts w:ascii="Times New Roman" w:hAnsi="Times New Roman"/>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4144" behindDoc="0" locked="0" layoutInCell="1" allowOverlap="1" wp14:anchorId="6626DF68" wp14:editId="7C558367">
                <wp:simplePos x="0" y="0"/>
                <wp:positionH relativeFrom="column">
                  <wp:posOffset>407035</wp:posOffset>
                </wp:positionH>
                <wp:positionV relativeFrom="paragraph">
                  <wp:posOffset>1943100</wp:posOffset>
                </wp:positionV>
                <wp:extent cx="1346835" cy="2184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18440"/>
                        </a:xfrm>
                        <a:prstGeom prst="rect">
                          <a:avLst/>
                        </a:prstGeom>
                        <a:solidFill>
                          <a:srgbClr val="FFFFFF"/>
                        </a:solidFill>
                        <a:ln>
                          <a:noFill/>
                        </a:ln>
                      </wps:spPr>
                      <wps:txbx>
                        <w:txbxContent>
                          <w:p w14:paraId="18534D30" w14:textId="77777777" w:rsidR="003947E5" w:rsidRPr="003947E5" w:rsidRDefault="003947E5" w:rsidP="003947E5">
                            <w:pPr>
                              <w:spacing w:after="0" w:line="240" w:lineRule="auto"/>
                              <w:rPr>
                                <w:rFonts w:ascii="Times New Roman" w:hAnsi="Times New Roman"/>
                                <w:b/>
                                <w:bCs/>
                                <w:color w:val="FF0000"/>
                                <w:sz w:val="12"/>
                                <w:szCs w:val="20"/>
                              </w:rPr>
                            </w:pPr>
                            <w:r w:rsidRPr="003947E5">
                              <w:rPr>
                                <w:rFonts w:ascii="Times New Roman" w:hAnsi="Times New Roman"/>
                                <w:b/>
                                <w:bCs/>
                                <w:color w:val="FF0000"/>
                                <w:sz w:val="12"/>
                                <w:szCs w:val="20"/>
                              </w:rPr>
                              <w:t>Ленватиниб + пембролизумаб</w:t>
                            </w:r>
                          </w:p>
                          <w:p w14:paraId="4EC4F836" w14:textId="77777777" w:rsidR="003947E5" w:rsidRPr="003947E5" w:rsidRDefault="003947E5" w:rsidP="003947E5">
                            <w:pPr>
                              <w:spacing w:after="0" w:line="240" w:lineRule="auto"/>
                              <w:rPr>
                                <w:rFonts w:ascii="Times New Roman" w:hAnsi="Times New Roman"/>
                                <w:sz w:val="12"/>
                                <w:szCs w:val="20"/>
                              </w:rPr>
                            </w:pPr>
                            <w:r w:rsidRPr="003947E5">
                              <w:rPr>
                                <w:rFonts w:ascii="Times New Roman" w:hAnsi="Times New Roman"/>
                                <w:b/>
                                <w:bCs/>
                                <w:sz w:val="12"/>
                                <w:szCs w:val="20"/>
                              </w:rPr>
                              <w:t xml:space="preserve">Доксорубицин или паклитаксел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6DF68" id="_x0000_s1034" type="#_x0000_t202" style="position:absolute;left:0;text-align:left;margin-left:32.05pt;margin-top:153pt;width:106.05pt;height:1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" stroked="f">
                <v:textbox inset="0,0,0,0">
                  <w:txbxContent>
                    <w:p w14:paraId="18534D30" w14:textId="77777777" w:rsidR="003947E5" w:rsidRPr="003947E5" w:rsidRDefault="003947E5" w:rsidP="003947E5">
                      <w:pPr>
                        <w:spacing w:after="0" w:line="240" w:lineRule="auto"/>
                        <w:rPr>
                          <w:rFonts w:ascii="Times New Roman" w:hAnsi="Times New Roman"/>
                          <w:b/>
                          <w:bCs/>
                          <w:color w:val="FF0000"/>
                          <w:sz w:val="12"/>
                          <w:szCs w:val="20"/>
                        </w:rPr>
                      </w:pPr>
                      <w:r w:rsidRPr="003947E5">
                        <w:rPr>
                          <w:rFonts w:ascii="Times New Roman" w:hAnsi="Times New Roman"/>
                          <w:b/>
                          <w:bCs/>
                          <w:color w:val="FF0000"/>
                          <w:sz w:val="12"/>
                          <w:szCs w:val="20"/>
                        </w:rPr>
                        <w:t>Ленватиниб + пембролизумаб</w:t>
                      </w:r>
                    </w:p>
                    <w:p w14:paraId="4EC4F836" w14:textId="77777777" w:rsidR="003947E5" w:rsidRPr="003947E5" w:rsidRDefault="003947E5" w:rsidP="003947E5">
                      <w:pPr>
                        <w:spacing w:after="0" w:line="240" w:lineRule="auto"/>
                        <w:rPr>
                          <w:rFonts w:ascii="Times New Roman" w:hAnsi="Times New Roman"/>
                          <w:sz w:val="12"/>
                          <w:szCs w:val="20"/>
                        </w:rPr>
                      </w:pPr>
                      <w:r w:rsidRPr="003947E5">
                        <w:rPr>
                          <w:rFonts w:ascii="Times New Roman" w:hAnsi="Times New Roman"/>
                          <w:b/>
                          <w:bCs/>
                          <w:sz w:val="12"/>
                          <w:szCs w:val="20"/>
                        </w:rPr>
                        <w:t xml:space="preserve">Доксорубицин или паклитаксел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3120" behindDoc="0" locked="0" layoutInCell="1" allowOverlap="1" wp14:anchorId="779EF276" wp14:editId="27C89660">
                <wp:simplePos x="0" y="0"/>
                <wp:positionH relativeFrom="column">
                  <wp:posOffset>3621405</wp:posOffset>
                </wp:positionH>
                <wp:positionV relativeFrom="paragraph">
                  <wp:posOffset>190500</wp:posOffset>
                </wp:positionV>
                <wp:extent cx="2049145" cy="8572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857250"/>
                        </a:xfrm>
                        <a:prstGeom prst="rect">
                          <a:avLst/>
                        </a:prstGeom>
                        <a:solidFill>
                          <a:srgbClr val="FFFFFF"/>
                        </a:solidFill>
                        <a:ln>
                          <a:noFill/>
                        </a:ln>
                      </wps:spPr>
                      <wps:txbx>
                        <w:txbxContent>
                          <w:p w14:paraId="5C5DBB39" w14:textId="77777777" w:rsidR="003947E5" w:rsidRPr="00492564" w:rsidRDefault="003947E5" w:rsidP="003947E5">
                            <w:pPr>
                              <w:spacing w:after="0" w:line="240" w:lineRule="auto"/>
                              <w:rPr>
                                <w:rFonts w:ascii="Times New Roman" w:hAnsi="Times New Roman"/>
                                <w:b/>
                                <w:bCs/>
                                <w:sz w:val="14"/>
                              </w:rPr>
                            </w:pPr>
                            <w:r w:rsidRPr="00492564">
                              <w:rPr>
                                <w:rFonts w:ascii="Times New Roman" w:hAnsi="Times New Roman"/>
                                <w:b/>
                                <w:bCs/>
                                <w:sz w:val="14"/>
                              </w:rPr>
                              <w:t>Медиана (месяцы) (9</w:t>
                            </w:r>
                            <w:r>
                              <w:rPr>
                                <w:rFonts w:ascii="Times New Roman" w:hAnsi="Times New Roman"/>
                                <w:b/>
                                <w:bCs/>
                                <w:sz w:val="14"/>
                              </w:rPr>
                              <w:t>6</w:t>
                            </w:r>
                            <w:r w:rsidRPr="00492564">
                              <w:rPr>
                                <w:rFonts w:ascii="Times New Roman" w:hAnsi="Times New Roman"/>
                                <w:b/>
                                <w:bCs/>
                                <w:sz w:val="14"/>
                              </w:rPr>
                              <w:t>% ДИ)</w:t>
                            </w:r>
                          </w:p>
                          <w:p w14:paraId="12E45858" w14:textId="77777777" w:rsidR="003947E5" w:rsidRPr="003947E5" w:rsidRDefault="003947E5" w:rsidP="003947E5">
                            <w:pPr>
                              <w:spacing w:after="0" w:line="240" w:lineRule="auto"/>
                              <w:rPr>
                                <w:rFonts w:ascii="Times New Roman" w:hAnsi="Times New Roman"/>
                                <w:color w:val="FF0000"/>
                                <w:sz w:val="14"/>
                              </w:rPr>
                            </w:pPr>
                            <w:r>
                              <w:rPr>
                                <w:rFonts w:ascii="Times New Roman" w:hAnsi="Times New Roman"/>
                                <w:b/>
                                <w:bCs/>
                                <w:color w:val="FF0000"/>
                                <w:sz w:val="14"/>
                              </w:rPr>
                              <w:t>Ленватиниб</w:t>
                            </w:r>
                            <w:r w:rsidRPr="003947E5">
                              <w:rPr>
                                <w:rFonts w:ascii="Times New Roman" w:hAnsi="Times New Roman"/>
                                <w:b/>
                                <w:bCs/>
                                <w:color w:val="FF0000"/>
                                <w:sz w:val="14"/>
                              </w:rPr>
                              <w:t xml:space="preserve"> + Пембролизумаб:</w:t>
                            </w:r>
                            <w:r w:rsidRPr="003947E5">
                              <w:rPr>
                                <w:rFonts w:ascii="Times New Roman" w:hAnsi="Times New Roman"/>
                                <w:color w:val="FF0000"/>
                                <w:sz w:val="14"/>
                              </w:rPr>
                              <w:t xml:space="preserve"> 18.7 (15.6, 21.3)</w:t>
                            </w:r>
                          </w:p>
                          <w:p w14:paraId="5D1DEB41" w14:textId="77777777" w:rsidR="003947E5" w:rsidRPr="003222B0" w:rsidRDefault="003947E5" w:rsidP="003947E5">
                            <w:pPr>
                              <w:spacing w:after="0" w:line="240" w:lineRule="auto"/>
                              <w:rPr>
                                <w:rFonts w:ascii="Times New Roman" w:hAnsi="Times New Roman"/>
                                <w:color w:val="000000"/>
                                <w:sz w:val="14"/>
                              </w:rPr>
                            </w:pPr>
                            <w:r w:rsidRPr="003222B0">
                              <w:rPr>
                                <w:rFonts w:ascii="Times New Roman" w:hAnsi="Times New Roman"/>
                                <w:b/>
                                <w:bCs/>
                                <w:color w:val="000000"/>
                                <w:sz w:val="14"/>
                              </w:rPr>
                              <w:t>Доксарубицин или паклитаксел:</w:t>
                            </w:r>
                            <w:r w:rsidRPr="003222B0">
                              <w:rPr>
                                <w:rFonts w:ascii="Times New Roman" w:hAnsi="Times New Roman"/>
                                <w:color w:val="000000"/>
                                <w:sz w:val="14"/>
                              </w:rPr>
                              <w:t xml:space="preserve"> 11.9 (10.7, 13.3)</w:t>
                            </w:r>
                          </w:p>
                          <w:p w14:paraId="5FD6FACC" w14:textId="77777777" w:rsidR="003947E5" w:rsidRPr="003222B0" w:rsidRDefault="003947E5" w:rsidP="003947E5">
                            <w:pPr>
                              <w:spacing w:after="0" w:line="240" w:lineRule="auto"/>
                              <w:rPr>
                                <w:rFonts w:ascii="Times New Roman" w:hAnsi="Times New Roman"/>
                                <w:color w:val="000000"/>
                                <w:sz w:val="14"/>
                              </w:rPr>
                            </w:pPr>
                          </w:p>
                          <w:p w14:paraId="55604A50" w14:textId="77777777" w:rsidR="003947E5" w:rsidRPr="003222B0" w:rsidRDefault="003947E5" w:rsidP="003947E5">
                            <w:pPr>
                              <w:spacing w:after="0" w:line="240" w:lineRule="auto"/>
                              <w:rPr>
                                <w:rFonts w:ascii="Times New Roman" w:hAnsi="Times New Roman"/>
                                <w:color w:val="000000"/>
                                <w:sz w:val="14"/>
                              </w:rPr>
                            </w:pPr>
                            <w:r w:rsidRPr="003222B0">
                              <w:rPr>
                                <w:rFonts w:ascii="Times New Roman" w:hAnsi="Times New Roman"/>
                                <w:color w:val="000000"/>
                                <w:sz w:val="14"/>
                              </w:rPr>
                              <w:t>Соотношение рисков (95% ДИ): 0.65 (0.55, 0.77)</w:t>
                            </w:r>
                          </w:p>
                          <w:p w14:paraId="6A0FAF9C" w14:textId="77777777" w:rsidR="003947E5" w:rsidRPr="003222B0" w:rsidRDefault="003947E5" w:rsidP="003947E5">
                            <w:pPr>
                              <w:spacing w:after="0" w:line="240" w:lineRule="auto"/>
                              <w:rPr>
                                <w:rFonts w:ascii="Times New Roman" w:hAnsi="Times New Roman"/>
                                <w:color w:val="000000"/>
                                <w:sz w:val="14"/>
                              </w:rPr>
                            </w:pPr>
                            <w:r w:rsidRPr="003222B0">
                              <w:rPr>
                                <w:rFonts w:ascii="Times New Roman" w:hAnsi="Times New Roman"/>
                                <w:color w:val="000000"/>
                                <w:sz w:val="14"/>
                              </w:rPr>
                              <w:t xml:space="preserve">Номинальное р-значение </w:t>
                            </w:r>
                            <w:r w:rsidRPr="003222B0">
                              <w:rPr>
                                <w:rFonts w:ascii="Times New Roman" w:hAnsi="Times New Roman"/>
                                <w:color w:val="000000"/>
                                <w:sz w:val="14"/>
                                <w:lang w:val="en-US"/>
                              </w:rPr>
                              <w:t>&lt;</w:t>
                            </w:r>
                            <w:r w:rsidRPr="003222B0">
                              <w:rPr>
                                <w:rFonts w:ascii="Times New Roman" w:hAnsi="Times New Roman"/>
                                <w:color w:val="000000"/>
                                <w:sz w:val="14"/>
                              </w:rPr>
                              <w:t>0.0001</w:t>
                            </w:r>
                          </w:p>
                          <w:p w14:paraId="76D0D7A0" w14:textId="77777777" w:rsidR="003947E5" w:rsidRPr="00492564" w:rsidRDefault="003947E5" w:rsidP="003947E5">
                            <w:pPr>
                              <w:spacing w:after="0" w:line="240" w:lineRule="auto"/>
                              <w:rPr>
                                <w:rFonts w:ascii="Times New Roman" w:hAnsi="Times New Roman"/>
                                <w:sz w:val="14"/>
                              </w:rPr>
                            </w:pPr>
                          </w:p>
                          <w:p w14:paraId="44ECFACD" w14:textId="77777777" w:rsidR="003947E5" w:rsidRPr="00492564" w:rsidRDefault="003947E5" w:rsidP="003947E5">
                            <w:pPr>
                              <w:spacing w:after="0" w:line="240" w:lineRule="auto"/>
                              <w:rPr>
                                <w:rFonts w:ascii="Times New Roman" w:hAnsi="Times New Roman"/>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F276" id="_x0000_s1035" type="#_x0000_t202" style="position:absolute;left:0;text-align:left;margin-left:285.15pt;margin-top:15pt;width:161.35pt;height: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" stroked="f">
                <v:textbox inset="0,0,0,0">
                  <w:txbxContent>
                    <w:p w14:paraId="5C5DBB39" w14:textId="77777777" w:rsidR="003947E5" w:rsidRPr="00492564" w:rsidRDefault="003947E5" w:rsidP="003947E5">
                      <w:pPr>
                        <w:spacing w:after="0" w:line="240" w:lineRule="auto"/>
                        <w:rPr>
                          <w:rFonts w:ascii="Times New Roman" w:hAnsi="Times New Roman"/>
                          <w:b/>
                          <w:bCs/>
                          <w:sz w:val="14"/>
                        </w:rPr>
                      </w:pPr>
                      <w:r w:rsidRPr="00492564">
                        <w:rPr>
                          <w:rFonts w:ascii="Times New Roman" w:hAnsi="Times New Roman"/>
                          <w:b/>
                          <w:bCs/>
                          <w:sz w:val="14"/>
                        </w:rPr>
                        <w:t>Медиана (месяцы) (9</w:t>
                      </w:r>
                      <w:r>
                        <w:rPr>
                          <w:rFonts w:ascii="Times New Roman" w:hAnsi="Times New Roman"/>
                          <w:b/>
                          <w:bCs/>
                          <w:sz w:val="14"/>
                        </w:rPr>
                        <w:t>6</w:t>
                      </w:r>
                      <w:r w:rsidRPr="00492564">
                        <w:rPr>
                          <w:rFonts w:ascii="Times New Roman" w:hAnsi="Times New Roman"/>
                          <w:b/>
                          <w:bCs/>
                          <w:sz w:val="14"/>
                        </w:rPr>
                        <w:t>% ДИ)</w:t>
                      </w:r>
                    </w:p>
                    <w:p w14:paraId="12E45858" w14:textId="77777777" w:rsidR="003947E5" w:rsidRPr="003947E5" w:rsidRDefault="003947E5" w:rsidP="003947E5">
                      <w:pPr>
                        <w:spacing w:after="0" w:line="240" w:lineRule="auto"/>
                        <w:rPr>
                          <w:rFonts w:ascii="Times New Roman" w:hAnsi="Times New Roman"/>
                          <w:color w:val="FF0000"/>
                          <w:sz w:val="14"/>
                        </w:rPr>
                      </w:pPr>
                      <w:r>
                        <w:rPr>
                          <w:rFonts w:ascii="Times New Roman" w:hAnsi="Times New Roman"/>
                          <w:b/>
                          <w:bCs/>
                          <w:color w:val="FF0000"/>
                          <w:sz w:val="14"/>
                        </w:rPr>
                        <w:t>Ленватиниб</w:t>
                      </w:r>
                      <w:r w:rsidRPr="003947E5">
                        <w:rPr>
                          <w:rFonts w:ascii="Times New Roman" w:hAnsi="Times New Roman"/>
                          <w:b/>
                          <w:bCs/>
                          <w:color w:val="FF0000"/>
                          <w:sz w:val="14"/>
                        </w:rPr>
                        <w:t xml:space="preserve"> + Пембролизумаб:</w:t>
                      </w:r>
                      <w:r w:rsidRPr="003947E5">
                        <w:rPr>
                          <w:rFonts w:ascii="Times New Roman" w:hAnsi="Times New Roman"/>
                          <w:color w:val="FF0000"/>
                          <w:sz w:val="14"/>
                        </w:rPr>
                        <w:t xml:space="preserve"> 18.7 (15.6, 21.3)</w:t>
                      </w:r>
                    </w:p>
                    <w:p w14:paraId="5D1DEB41" w14:textId="77777777" w:rsidR="003947E5" w:rsidRPr="003222B0" w:rsidRDefault="003947E5" w:rsidP="003947E5">
                      <w:pPr>
                        <w:spacing w:after="0" w:line="240" w:lineRule="auto"/>
                        <w:rPr>
                          <w:rFonts w:ascii="Times New Roman" w:hAnsi="Times New Roman"/>
                          <w:color w:val="000000"/>
                          <w:sz w:val="14"/>
                        </w:rPr>
                      </w:pPr>
                      <w:r w:rsidRPr="003222B0">
                        <w:rPr>
                          <w:rFonts w:ascii="Times New Roman" w:hAnsi="Times New Roman"/>
                          <w:b/>
                          <w:bCs/>
                          <w:color w:val="000000"/>
                          <w:sz w:val="14"/>
                        </w:rPr>
                        <w:t>Доксарубицин или паклитаксел:</w:t>
                      </w:r>
                      <w:r w:rsidRPr="003222B0">
                        <w:rPr>
                          <w:rFonts w:ascii="Times New Roman" w:hAnsi="Times New Roman"/>
                          <w:color w:val="000000"/>
                          <w:sz w:val="14"/>
                        </w:rPr>
                        <w:t xml:space="preserve"> 11.9 (10.7, 13.3)</w:t>
                      </w:r>
                    </w:p>
                    <w:p w14:paraId="5FD6FACC" w14:textId="77777777" w:rsidR="003947E5" w:rsidRPr="003222B0" w:rsidRDefault="003947E5" w:rsidP="003947E5">
                      <w:pPr>
                        <w:spacing w:after="0" w:line="240" w:lineRule="auto"/>
                        <w:rPr>
                          <w:rFonts w:ascii="Times New Roman" w:hAnsi="Times New Roman"/>
                          <w:color w:val="000000"/>
                          <w:sz w:val="14"/>
                        </w:rPr>
                      </w:pPr>
                    </w:p>
                    <w:p w14:paraId="55604A50" w14:textId="77777777" w:rsidR="003947E5" w:rsidRPr="003222B0" w:rsidRDefault="003947E5" w:rsidP="003947E5">
                      <w:pPr>
                        <w:spacing w:after="0" w:line="240" w:lineRule="auto"/>
                        <w:rPr>
                          <w:rFonts w:ascii="Times New Roman" w:hAnsi="Times New Roman"/>
                          <w:color w:val="000000"/>
                          <w:sz w:val="14"/>
                        </w:rPr>
                      </w:pPr>
                      <w:r w:rsidRPr="003222B0">
                        <w:rPr>
                          <w:rFonts w:ascii="Times New Roman" w:hAnsi="Times New Roman"/>
                          <w:color w:val="000000"/>
                          <w:sz w:val="14"/>
                        </w:rPr>
                        <w:t>Соотношение рисков (95% ДИ): 0.65 (0.55, 0.77)</w:t>
                      </w:r>
                    </w:p>
                    <w:p w14:paraId="6A0FAF9C" w14:textId="77777777" w:rsidR="003947E5" w:rsidRPr="003222B0" w:rsidRDefault="003947E5" w:rsidP="003947E5">
                      <w:pPr>
                        <w:spacing w:after="0" w:line="240" w:lineRule="auto"/>
                        <w:rPr>
                          <w:rFonts w:ascii="Times New Roman" w:hAnsi="Times New Roman"/>
                          <w:color w:val="000000"/>
                          <w:sz w:val="14"/>
                        </w:rPr>
                      </w:pPr>
                      <w:r w:rsidRPr="003222B0">
                        <w:rPr>
                          <w:rFonts w:ascii="Times New Roman" w:hAnsi="Times New Roman"/>
                          <w:color w:val="000000"/>
                          <w:sz w:val="14"/>
                        </w:rPr>
                        <w:t xml:space="preserve">Номинальное р-значение </w:t>
                      </w:r>
                      <w:r w:rsidRPr="003222B0">
                        <w:rPr>
                          <w:rFonts w:ascii="Times New Roman" w:hAnsi="Times New Roman"/>
                          <w:color w:val="000000"/>
                          <w:sz w:val="14"/>
                          <w:lang w:val="en-US"/>
                        </w:rPr>
                        <w:t>&lt;</w:t>
                      </w:r>
                      <w:r w:rsidRPr="003222B0">
                        <w:rPr>
                          <w:rFonts w:ascii="Times New Roman" w:hAnsi="Times New Roman"/>
                          <w:color w:val="000000"/>
                          <w:sz w:val="14"/>
                        </w:rPr>
                        <w:t>0.0001</w:t>
                      </w:r>
                    </w:p>
                    <w:p w14:paraId="76D0D7A0" w14:textId="77777777" w:rsidR="003947E5" w:rsidRPr="00492564" w:rsidRDefault="003947E5" w:rsidP="003947E5">
                      <w:pPr>
                        <w:spacing w:after="0" w:line="240" w:lineRule="auto"/>
                        <w:rPr>
                          <w:rFonts w:ascii="Times New Roman" w:hAnsi="Times New Roman"/>
                          <w:sz w:val="14"/>
                        </w:rPr>
                      </w:pPr>
                    </w:p>
                    <w:p w14:paraId="44ECFACD" w14:textId="77777777" w:rsidR="003947E5" w:rsidRPr="00492564" w:rsidRDefault="003947E5" w:rsidP="003947E5">
                      <w:pPr>
                        <w:spacing w:after="0" w:line="240" w:lineRule="auto"/>
                        <w:rPr>
                          <w:rFonts w:ascii="Times New Roman" w:hAnsi="Times New Roman"/>
                          <w:sz w:val="14"/>
                        </w:rPr>
                      </w:pPr>
                    </w:p>
                  </w:txbxContent>
                </v:textbox>
              </v:shape>
            </w:pict>
          </mc:Fallback>
        </mc:AlternateContent>
      </w:r>
      <w:r w:rsidRPr="005A46FC">
        <w:rPr>
          <w:rFonts w:ascii="Times New Roman" w:hAnsi="Times New Roman"/>
          <w:noProof/>
          <w:sz w:val="24"/>
          <w:szCs w:val="24"/>
          <w:lang w:eastAsia="ru-RU"/>
        </w:rPr>
        <w:drawing>
          <wp:inline distT="0" distB="0" distL="0" distR="0" wp14:anchorId="553D9DF1" wp14:editId="37E101D0">
            <wp:extent cx="5745480" cy="2484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5480" cy="2484120"/>
                    </a:xfrm>
                    <a:prstGeom prst="rect">
                      <a:avLst/>
                    </a:prstGeom>
                    <a:noFill/>
                    <a:ln>
                      <a:noFill/>
                    </a:ln>
                  </pic:spPr>
                </pic:pic>
              </a:graphicData>
            </a:graphic>
          </wp:inline>
        </w:drawing>
      </w:r>
    </w:p>
    <w:p w14:paraId="3E6CDE74" w14:textId="77777777" w:rsidR="00550514" w:rsidRPr="005A46FC" w:rsidRDefault="005B5FFD" w:rsidP="005B5FFD">
      <w:pPr>
        <w:autoSpaceDE w:val="0"/>
        <w:autoSpaceDN w:val="0"/>
        <w:adjustRightInd w:val="0"/>
        <w:spacing w:after="0" w:line="240" w:lineRule="auto"/>
        <w:jc w:val="center"/>
        <w:rPr>
          <w:rFonts w:ascii="Times New Roman" w:hAnsi="Times New Roman"/>
          <w:b/>
          <w:bCs/>
          <w:sz w:val="20"/>
          <w:szCs w:val="20"/>
          <w:lang w:eastAsia="ru-RU"/>
        </w:rPr>
      </w:pPr>
      <w:r w:rsidRPr="005A46FC">
        <w:rPr>
          <w:rFonts w:ascii="Times New Roman" w:hAnsi="Times New Roman"/>
          <w:b/>
          <w:bCs/>
          <w:sz w:val="20"/>
          <w:szCs w:val="20"/>
          <w:lang w:eastAsia="ru-RU"/>
        </w:rPr>
        <w:t>Время (месяцы)</w:t>
      </w:r>
    </w:p>
    <w:p w14:paraId="719EEF8A" w14:textId="77777777" w:rsidR="005B5FFD" w:rsidRPr="005A46FC" w:rsidRDefault="005B5FFD" w:rsidP="005B5FFD">
      <w:pPr>
        <w:autoSpaceDE w:val="0"/>
        <w:autoSpaceDN w:val="0"/>
        <w:adjustRightInd w:val="0"/>
        <w:spacing w:after="0" w:line="240" w:lineRule="auto"/>
        <w:rPr>
          <w:rFonts w:ascii="Times New Roman" w:hAnsi="Times New Roman"/>
          <w:b/>
          <w:bCs/>
          <w:sz w:val="18"/>
          <w:szCs w:val="18"/>
          <w:lang w:eastAsia="ru-RU"/>
        </w:rPr>
      </w:pPr>
      <w:r w:rsidRPr="005A46FC">
        <w:rPr>
          <w:rFonts w:ascii="Times New Roman" w:hAnsi="Times New Roman"/>
          <w:b/>
          <w:bCs/>
          <w:sz w:val="18"/>
          <w:szCs w:val="18"/>
          <w:lang w:eastAsia="ru-RU"/>
        </w:rPr>
        <w:t>Число субъектов риска:</w:t>
      </w:r>
    </w:p>
    <w:tbl>
      <w:tblPr>
        <w:tblW w:w="0" w:type="auto"/>
        <w:tblLook w:val="04A0" w:firstRow="1" w:lastRow="0" w:firstColumn="1" w:lastColumn="0" w:noHBand="0" w:noVBand="1"/>
      </w:tblPr>
      <w:tblGrid>
        <w:gridCol w:w="1308"/>
        <w:gridCol w:w="558"/>
        <w:gridCol w:w="559"/>
        <w:gridCol w:w="559"/>
        <w:gridCol w:w="559"/>
        <w:gridCol w:w="559"/>
        <w:gridCol w:w="559"/>
        <w:gridCol w:w="559"/>
        <w:gridCol w:w="559"/>
        <w:gridCol w:w="559"/>
        <w:gridCol w:w="559"/>
        <w:gridCol w:w="512"/>
        <w:gridCol w:w="512"/>
        <w:gridCol w:w="467"/>
        <w:gridCol w:w="467"/>
        <w:gridCol w:w="432"/>
      </w:tblGrid>
      <w:tr w:rsidR="005B5FFD" w:rsidRPr="005A46FC" w14:paraId="75D492F7" w14:textId="77777777" w:rsidTr="003222B0">
        <w:tc>
          <w:tcPr>
            <w:tcW w:w="1308" w:type="dxa"/>
            <w:shd w:val="clear" w:color="auto" w:fill="auto"/>
          </w:tcPr>
          <w:p w14:paraId="79587472" w14:textId="77777777" w:rsidR="005B5FFD" w:rsidRPr="005A46FC" w:rsidRDefault="005B5FFD" w:rsidP="003222B0">
            <w:pPr>
              <w:autoSpaceDE w:val="0"/>
              <w:autoSpaceDN w:val="0"/>
              <w:adjustRightInd w:val="0"/>
              <w:spacing w:after="0" w:line="240" w:lineRule="auto"/>
              <w:rPr>
                <w:rFonts w:ascii="Times New Roman" w:hAnsi="Times New Roman"/>
                <w:color w:val="FF0000"/>
                <w:sz w:val="24"/>
                <w:szCs w:val="24"/>
                <w:lang w:eastAsia="ru-RU"/>
              </w:rPr>
            </w:pPr>
            <w:r w:rsidRPr="005A46FC">
              <w:rPr>
                <w:rFonts w:ascii="Times New Roman" w:hAnsi="Times New Roman"/>
                <w:color w:val="FF0000"/>
                <w:sz w:val="16"/>
                <w:szCs w:val="16"/>
                <w:lang w:eastAsia="ru-RU"/>
              </w:rPr>
              <w:t>Ленватиниб + Пембролизумаб</w:t>
            </w:r>
          </w:p>
        </w:tc>
        <w:tc>
          <w:tcPr>
            <w:tcW w:w="558" w:type="dxa"/>
            <w:shd w:val="clear" w:color="auto" w:fill="auto"/>
          </w:tcPr>
          <w:p w14:paraId="5178283B"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411</w:t>
            </w:r>
          </w:p>
        </w:tc>
        <w:tc>
          <w:tcPr>
            <w:tcW w:w="559" w:type="dxa"/>
            <w:shd w:val="clear" w:color="auto" w:fill="auto"/>
          </w:tcPr>
          <w:p w14:paraId="09AC5227"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383</w:t>
            </w:r>
          </w:p>
        </w:tc>
        <w:tc>
          <w:tcPr>
            <w:tcW w:w="559" w:type="dxa"/>
            <w:shd w:val="clear" w:color="auto" w:fill="auto"/>
          </w:tcPr>
          <w:p w14:paraId="32D8592B"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337</w:t>
            </w:r>
          </w:p>
        </w:tc>
        <w:tc>
          <w:tcPr>
            <w:tcW w:w="559" w:type="dxa"/>
            <w:shd w:val="clear" w:color="auto" w:fill="auto"/>
          </w:tcPr>
          <w:p w14:paraId="30E18689"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292</w:t>
            </w:r>
          </w:p>
        </w:tc>
        <w:tc>
          <w:tcPr>
            <w:tcW w:w="559" w:type="dxa"/>
            <w:shd w:val="clear" w:color="auto" w:fill="auto"/>
          </w:tcPr>
          <w:p w14:paraId="56F30D49"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258</w:t>
            </w:r>
          </w:p>
        </w:tc>
        <w:tc>
          <w:tcPr>
            <w:tcW w:w="559" w:type="dxa"/>
            <w:shd w:val="clear" w:color="auto" w:fill="auto"/>
          </w:tcPr>
          <w:p w14:paraId="4551895A"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229</w:t>
            </w:r>
          </w:p>
        </w:tc>
        <w:tc>
          <w:tcPr>
            <w:tcW w:w="559" w:type="dxa"/>
            <w:shd w:val="clear" w:color="auto" w:fill="auto"/>
          </w:tcPr>
          <w:p w14:paraId="640F27BF"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211</w:t>
            </w:r>
          </w:p>
        </w:tc>
        <w:tc>
          <w:tcPr>
            <w:tcW w:w="559" w:type="dxa"/>
            <w:shd w:val="clear" w:color="auto" w:fill="auto"/>
          </w:tcPr>
          <w:p w14:paraId="3474B35D"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186</w:t>
            </w:r>
          </w:p>
        </w:tc>
        <w:tc>
          <w:tcPr>
            <w:tcW w:w="559" w:type="dxa"/>
            <w:shd w:val="clear" w:color="auto" w:fill="auto"/>
          </w:tcPr>
          <w:p w14:paraId="7C11BC9D"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160</w:t>
            </w:r>
          </w:p>
        </w:tc>
        <w:tc>
          <w:tcPr>
            <w:tcW w:w="559" w:type="dxa"/>
            <w:shd w:val="clear" w:color="auto" w:fill="auto"/>
          </w:tcPr>
          <w:p w14:paraId="4F7DDE54"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125</w:t>
            </w:r>
          </w:p>
        </w:tc>
        <w:tc>
          <w:tcPr>
            <w:tcW w:w="512" w:type="dxa"/>
            <w:shd w:val="clear" w:color="auto" w:fill="auto"/>
          </w:tcPr>
          <w:p w14:paraId="2AC709C5"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91</w:t>
            </w:r>
          </w:p>
        </w:tc>
        <w:tc>
          <w:tcPr>
            <w:tcW w:w="512" w:type="dxa"/>
            <w:shd w:val="clear" w:color="auto" w:fill="auto"/>
          </w:tcPr>
          <w:p w14:paraId="30CE8875"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58</w:t>
            </w:r>
          </w:p>
        </w:tc>
        <w:tc>
          <w:tcPr>
            <w:tcW w:w="467" w:type="dxa"/>
            <w:shd w:val="clear" w:color="auto" w:fill="auto"/>
          </w:tcPr>
          <w:p w14:paraId="7E55CBB0"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30</w:t>
            </w:r>
          </w:p>
        </w:tc>
        <w:tc>
          <w:tcPr>
            <w:tcW w:w="467" w:type="dxa"/>
            <w:shd w:val="clear" w:color="auto" w:fill="auto"/>
          </w:tcPr>
          <w:p w14:paraId="3C742150"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10</w:t>
            </w:r>
          </w:p>
        </w:tc>
        <w:tc>
          <w:tcPr>
            <w:tcW w:w="432" w:type="dxa"/>
            <w:shd w:val="clear" w:color="auto" w:fill="auto"/>
          </w:tcPr>
          <w:p w14:paraId="4E2ED600"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2</w:t>
            </w:r>
          </w:p>
        </w:tc>
      </w:tr>
      <w:tr w:rsidR="005B5FFD" w:rsidRPr="005A46FC" w14:paraId="3554DB61" w14:textId="77777777" w:rsidTr="003222B0">
        <w:tc>
          <w:tcPr>
            <w:tcW w:w="1308" w:type="dxa"/>
            <w:shd w:val="clear" w:color="auto" w:fill="auto"/>
          </w:tcPr>
          <w:p w14:paraId="77170D2E" w14:textId="77777777" w:rsidR="005B5FFD" w:rsidRPr="005A46FC" w:rsidRDefault="005B5FFD"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16"/>
                <w:szCs w:val="16"/>
                <w:lang w:eastAsia="ru-RU"/>
              </w:rPr>
              <w:t>Доксорубицин или паклитаксел</w:t>
            </w:r>
          </w:p>
        </w:tc>
        <w:tc>
          <w:tcPr>
            <w:tcW w:w="558" w:type="dxa"/>
            <w:shd w:val="clear" w:color="auto" w:fill="auto"/>
          </w:tcPr>
          <w:p w14:paraId="4A619CDD"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416</w:t>
            </w:r>
          </w:p>
        </w:tc>
        <w:tc>
          <w:tcPr>
            <w:tcW w:w="559" w:type="dxa"/>
            <w:shd w:val="clear" w:color="auto" w:fill="auto"/>
          </w:tcPr>
          <w:p w14:paraId="1DCBAD91"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378</w:t>
            </w:r>
          </w:p>
        </w:tc>
        <w:tc>
          <w:tcPr>
            <w:tcW w:w="559" w:type="dxa"/>
            <w:shd w:val="clear" w:color="auto" w:fill="auto"/>
          </w:tcPr>
          <w:p w14:paraId="29CE6101"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305</w:t>
            </w:r>
          </w:p>
        </w:tc>
        <w:tc>
          <w:tcPr>
            <w:tcW w:w="559" w:type="dxa"/>
            <w:shd w:val="clear" w:color="auto" w:fill="auto"/>
          </w:tcPr>
          <w:p w14:paraId="6D6C2838"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246</w:t>
            </w:r>
          </w:p>
        </w:tc>
        <w:tc>
          <w:tcPr>
            <w:tcW w:w="559" w:type="dxa"/>
            <w:shd w:val="clear" w:color="auto" w:fill="auto"/>
          </w:tcPr>
          <w:p w14:paraId="694FE9C6"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196</w:t>
            </w:r>
          </w:p>
        </w:tc>
        <w:tc>
          <w:tcPr>
            <w:tcW w:w="559" w:type="dxa"/>
            <w:shd w:val="clear" w:color="auto" w:fill="auto"/>
          </w:tcPr>
          <w:p w14:paraId="39C82D78"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158</w:t>
            </w:r>
          </w:p>
        </w:tc>
        <w:tc>
          <w:tcPr>
            <w:tcW w:w="559" w:type="dxa"/>
            <w:shd w:val="clear" w:color="auto" w:fill="auto"/>
          </w:tcPr>
          <w:p w14:paraId="4F851495"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129</w:t>
            </w:r>
          </w:p>
        </w:tc>
        <w:tc>
          <w:tcPr>
            <w:tcW w:w="559" w:type="dxa"/>
            <w:shd w:val="clear" w:color="auto" w:fill="auto"/>
          </w:tcPr>
          <w:p w14:paraId="3F73769D"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104</w:t>
            </w:r>
          </w:p>
        </w:tc>
        <w:tc>
          <w:tcPr>
            <w:tcW w:w="559" w:type="dxa"/>
            <w:shd w:val="clear" w:color="auto" w:fill="auto"/>
          </w:tcPr>
          <w:p w14:paraId="4B9A40BF"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84</w:t>
            </w:r>
          </w:p>
        </w:tc>
        <w:tc>
          <w:tcPr>
            <w:tcW w:w="559" w:type="dxa"/>
            <w:shd w:val="clear" w:color="auto" w:fill="auto"/>
          </w:tcPr>
          <w:p w14:paraId="77B2C5D0"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64</w:t>
            </w:r>
          </w:p>
        </w:tc>
        <w:tc>
          <w:tcPr>
            <w:tcW w:w="512" w:type="dxa"/>
            <w:shd w:val="clear" w:color="auto" w:fill="auto"/>
          </w:tcPr>
          <w:p w14:paraId="205BA205"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49</w:t>
            </w:r>
          </w:p>
        </w:tc>
        <w:tc>
          <w:tcPr>
            <w:tcW w:w="512" w:type="dxa"/>
            <w:shd w:val="clear" w:color="auto" w:fill="auto"/>
          </w:tcPr>
          <w:p w14:paraId="76634B31"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28</w:t>
            </w:r>
          </w:p>
        </w:tc>
        <w:tc>
          <w:tcPr>
            <w:tcW w:w="467" w:type="dxa"/>
            <w:shd w:val="clear" w:color="auto" w:fill="auto"/>
          </w:tcPr>
          <w:p w14:paraId="5A488B8A"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6</w:t>
            </w:r>
          </w:p>
        </w:tc>
        <w:tc>
          <w:tcPr>
            <w:tcW w:w="467" w:type="dxa"/>
            <w:shd w:val="clear" w:color="auto" w:fill="auto"/>
          </w:tcPr>
          <w:p w14:paraId="2C1E06F9"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3</w:t>
            </w:r>
          </w:p>
        </w:tc>
        <w:tc>
          <w:tcPr>
            <w:tcW w:w="432" w:type="dxa"/>
            <w:shd w:val="clear" w:color="auto" w:fill="auto"/>
          </w:tcPr>
          <w:p w14:paraId="16FE5022"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w:t>
            </w:r>
          </w:p>
        </w:tc>
      </w:tr>
    </w:tbl>
    <w:p w14:paraId="1370E677" w14:textId="77777777" w:rsidR="005B5FFD" w:rsidRPr="005A46FC" w:rsidRDefault="005B5FFD" w:rsidP="005B5FFD">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*На основ</w:t>
      </w:r>
      <w:r w:rsidR="00F81D8A" w:rsidRPr="005A46FC">
        <w:rPr>
          <w:rFonts w:ascii="Times New Roman" w:hAnsi="Times New Roman"/>
          <w:sz w:val="24"/>
          <w:szCs w:val="24"/>
          <w:lang w:eastAsia="ru-RU"/>
        </w:rPr>
        <w:t>ании</w:t>
      </w:r>
      <w:r w:rsidRPr="005A46FC">
        <w:rPr>
          <w:rFonts w:ascii="Times New Roman" w:hAnsi="Times New Roman"/>
          <w:sz w:val="24"/>
          <w:szCs w:val="24"/>
          <w:lang w:eastAsia="ru-RU"/>
        </w:rPr>
        <w:t xml:space="preserve"> указанного в протоколе окончательного анализа</w:t>
      </w:r>
    </w:p>
    <w:p w14:paraId="6D462EFB" w14:textId="77777777" w:rsidR="00F81D8A" w:rsidRPr="005A46FC" w:rsidRDefault="00F81D8A" w:rsidP="00550514">
      <w:pPr>
        <w:autoSpaceDE w:val="0"/>
        <w:autoSpaceDN w:val="0"/>
        <w:adjustRightInd w:val="0"/>
        <w:spacing w:after="0" w:line="240" w:lineRule="auto"/>
        <w:jc w:val="both"/>
        <w:rPr>
          <w:rFonts w:ascii="Times New Roman" w:hAnsi="Times New Roman"/>
          <w:sz w:val="24"/>
          <w:szCs w:val="24"/>
          <w:lang w:eastAsia="ru-RU"/>
        </w:rPr>
      </w:pPr>
    </w:p>
    <w:p w14:paraId="38854586" w14:textId="77777777" w:rsidR="003947E5" w:rsidRPr="005A46FC" w:rsidRDefault="005B5FFD" w:rsidP="00550514">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Рисунок 4. Кривая Каплана-Мейера при ВБП в исследовании 309</w:t>
      </w:r>
    </w:p>
    <w:p w14:paraId="6BC906B6" w14:textId="77777777" w:rsidR="005B5FFD" w:rsidRPr="005A46FC" w:rsidRDefault="005B5FFD" w:rsidP="00550514">
      <w:pPr>
        <w:autoSpaceDE w:val="0"/>
        <w:autoSpaceDN w:val="0"/>
        <w:adjustRightInd w:val="0"/>
        <w:spacing w:after="0" w:line="240" w:lineRule="auto"/>
        <w:jc w:val="both"/>
        <w:rPr>
          <w:rFonts w:ascii="Times New Roman" w:hAnsi="Times New Roman"/>
          <w:b/>
          <w:bCs/>
          <w:sz w:val="24"/>
          <w:szCs w:val="24"/>
          <w:lang w:eastAsia="ru-RU"/>
        </w:rPr>
      </w:pPr>
    </w:p>
    <w:p w14:paraId="1A135693" w14:textId="77777777" w:rsidR="003947E5" w:rsidRPr="005A46FC" w:rsidRDefault="000B247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4E0F6B8B" wp14:editId="409D8B50">
                <wp:simplePos x="0" y="0"/>
                <wp:positionH relativeFrom="column">
                  <wp:posOffset>-161925</wp:posOffset>
                </wp:positionH>
                <wp:positionV relativeFrom="paragraph">
                  <wp:posOffset>144145</wp:posOffset>
                </wp:positionV>
                <wp:extent cx="160655" cy="1980565"/>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980565"/>
                        </a:xfrm>
                        <a:prstGeom prst="rect">
                          <a:avLst/>
                        </a:prstGeom>
                        <a:solidFill>
                          <a:srgbClr val="FFFFFF"/>
                        </a:solidFill>
                        <a:ln>
                          <a:noFill/>
                        </a:ln>
                      </wps:spPr>
                      <wps:txbx>
                        <w:txbxContent>
                          <w:p w14:paraId="0D09C268" w14:textId="77777777" w:rsidR="00F81D8A" w:rsidRPr="00842576" w:rsidRDefault="00F81D8A" w:rsidP="00F81D8A">
                            <w:pPr>
                              <w:jc w:val="center"/>
                              <w:rPr>
                                <w:rFonts w:ascii="Times New Roman" w:hAnsi="Times New Roman"/>
                                <w:b/>
                                <w:sz w:val="20"/>
                                <w:szCs w:val="32"/>
                              </w:rPr>
                            </w:pPr>
                            <w:r>
                              <w:rPr>
                                <w:rFonts w:ascii="Times New Roman" w:hAnsi="Times New Roman"/>
                                <w:b/>
                                <w:sz w:val="20"/>
                                <w:szCs w:val="32"/>
                              </w:rPr>
                              <w:t>Выживание без прогрессирования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F6B8B" id="_x0000_s1036" type="#_x0000_t202" style="position:absolute;left:0;text-align:left;margin-left:-12.75pt;margin-top:11.35pt;width:12.65pt;height:15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" stroked="f">
                <v:textbox style="layout-flow:vertical;mso-layout-flow-alt:bottom-to-top" inset="0,0,0,0">
                  <w:txbxContent>
                    <w:p w14:paraId="0D09C268" w14:textId="77777777" w:rsidR="00F81D8A" w:rsidRPr="00842576" w:rsidRDefault="00F81D8A" w:rsidP="00F81D8A">
                      <w:pPr>
                        <w:jc w:val="center"/>
                        <w:rPr>
                          <w:rFonts w:ascii="Times New Roman" w:hAnsi="Times New Roman"/>
                          <w:b/>
                          <w:sz w:val="20"/>
                          <w:szCs w:val="32"/>
                        </w:rPr>
                      </w:pPr>
                      <w:r>
                        <w:rPr>
                          <w:rFonts w:ascii="Times New Roman" w:hAnsi="Times New Roman"/>
                          <w:b/>
                          <w:sz w:val="20"/>
                          <w:szCs w:val="32"/>
                        </w:rPr>
                        <w:t>Выживание без прогрессирования</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76F65167" wp14:editId="629DD859">
                <wp:simplePos x="0" y="0"/>
                <wp:positionH relativeFrom="column">
                  <wp:posOffset>3954145</wp:posOffset>
                </wp:positionH>
                <wp:positionV relativeFrom="paragraph">
                  <wp:posOffset>930910</wp:posOffset>
                </wp:positionV>
                <wp:extent cx="597535" cy="29654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96545"/>
                        </a:xfrm>
                        <a:prstGeom prst="rect">
                          <a:avLst/>
                        </a:prstGeom>
                        <a:solidFill>
                          <a:srgbClr val="FFFFFF"/>
                        </a:solidFill>
                        <a:ln>
                          <a:noFill/>
                        </a:ln>
                      </wps:spPr>
                      <wps:txbx>
                        <w:txbxContent>
                          <w:p w14:paraId="56DA03DA"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Степень общей </w:t>
                            </w:r>
                          </w:p>
                          <w:p w14:paraId="04D2B643"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выживаемости</w:t>
                            </w:r>
                          </w:p>
                          <w:p w14:paraId="22A6E9AE"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через </w:t>
                            </w:r>
                            <w:r>
                              <w:rPr>
                                <w:rFonts w:ascii="Times New Roman" w:hAnsi="Times New Roman"/>
                                <w:b/>
                                <w:bCs/>
                                <w:color w:val="000000"/>
                                <w:sz w:val="12"/>
                                <w:szCs w:val="20"/>
                              </w:rPr>
                              <w:t>6</w:t>
                            </w:r>
                            <w:r w:rsidRPr="00F81D8A">
                              <w:rPr>
                                <w:rFonts w:ascii="Times New Roman" w:hAnsi="Times New Roman"/>
                                <w:b/>
                                <w:bCs/>
                                <w:color w:val="000000"/>
                                <w:sz w:val="12"/>
                                <w:szCs w:val="20"/>
                              </w:rPr>
                              <w:t xml:space="preserve"> месяцев</w:t>
                            </w:r>
                          </w:p>
                          <w:p w14:paraId="785F7AAB" w14:textId="77777777" w:rsidR="00F81D8A" w:rsidRPr="005B5FFD" w:rsidRDefault="00F81D8A" w:rsidP="00F81D8A">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65167" id="_x0000_s1037" type="#_x0000_t202" style="position:absolute;left:0;text-align:left;margin-left:311.35pt;margin-top:73.3pt;width:47.05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" stroked="f">
                <v:textbox inset="0,0,0,0">
                  <w:txbxContent>
                    <w:p w14:paraId="56DA03DA"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Степень общей </w:t>
                      </w:r>
                    </w:p>
                    <w:p w14:paraId="04D2B643"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выживаемости</w:t>
                      </w:r>
                    </w:p>
                    <w:p w14:paraId="22A6E9AE"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через </w:t>
                      </w:r>
                      <w:r>
                        <w:rPr>
                          <w:rFonts w:ascii="Times New Roman" w:hAnsi="Times New Roman"/>
                          <w:b/>
                          <w:bCs/>
                          <w:color w:val="000000"/>
                          <w:sz w:val="12"/>
                          <w:szCs w:val="20"/>
                        </w:rPr>
                        <w:t>6</w:t>
                      </w:r>
                      <w:r w:rsidRPr="00F81D8A">
                        <w:rPr>
                          <w:rFonts w:ascii="Times New Roman" w:hAnsi="Times New Roman"/>
                          <w:b/>
                          <w:bCs/>
                          <w:color w:val="000000"/>
                          <w:sz w:val="12"/>
                          <w:szCs w:val="20"/>
                        </w:rPr>
                        <w:t xml:space="preserve"> месяцев</w:t>
                      </w:r>
                    </w:p>
                    <w:p w14:paraId="785F7AAB" w14:textId="77777777" w:rsidR="00F81D8A" w:rsidRPr="005B5FFD" w:rsidRDefault="00F81D8A" w:rsidP="00F81D8A">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5C81B8F4" wp14:editId="77A154AF">
                <wp:simplePos x="0" y="0"/>
                <wp:positionH relativeFrom="column">
                  <wp:posOffset>4584700</wp:posOffset>
                </wp:positionH>
                <wp:positionV relativeFrom="paragraph">
                  <wp:posOffset>932180</wp:posOffset>
                </wp:positionV>
                <wp:extent cx="597535" cy="29654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96545"/>
                        </a:xfrm>
                        <a:prstGeom prst="rect">
                          <a:avLst/>
                        </a:prstGeom>
                        <a:solidFill>
                          <a:srgbClr val="FFFFFF"/>
                        </a:solidFill>
                        <a:ln>
                          <a:noFill/>
                        </a:ln>
                      </wps:spPr>
                      <wps:txbx>
                        <w:txbxContent>
                          <w:p w14:paraId="3A93C458"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Степень общей </w:t>
                            </w:r>
                          </w:p>
                          <w:p w14:paraId="51E03E55"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выживаемости</w:t>
                            </w:r>
                          </w:p>
                          <w:p w14:paraId="22C435F9"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через </w:t>
                            </w:r>
                            <w:r>
                              <w:rPr>
                                <w:rFonts w:ascii="Times New Roman" w:hAnsi="Times New Roman"/>
                                <w:b/>
                                <w:bCs/>
                                <w:color w:val="000000"/>
                                <w:sz w:val="12"/>
                                <w:szCs w:val="20"/>
                              </w:rPr>
                              <w:t>12</w:t>
                            </w:r>
                            <w:r w:rsidRPr="00F81D8A">
                              <w:rPr>
                                <w:rFonts w:ascii="Times New Roman" w:hAnsi="Times New Roman"/>
                                <w:b/>
                                <w:bCs/>
                                <w:color w:val="000000"/>
                                <w:sz w:val="12"/>
                                <w:szCs w:val="20"/>
                              </w:rPr>
                              <w:t xml:space="preserve"> месяцев</w:t>
                            </w:r>
                          </w:p>
                          <w:p w14:paraId="5C5744EE" w14:textId="77777777" w:rsidR="00F81D8A" w:rsidRPr="005B5FFD" w:rsidRDefault="00F81D8A" w:rsidP="00F81D8A">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1B8F4" id="_x0000_s1038" type="#_x0000_t202" style="position:absolute;left:0;text-align:left;margin-left:361pt;margin-top:73.4pt;width:47.05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" stroked="f">
                <v:textbox inset="0,0,0,0">
                  <w:txbxContent>
                    <w:p w14:paraId="3A93C458"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Степень общей </w:t>
                      </w:r>
                    </w:p>
                    <w:p w14:paraId="51E03E55"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выживаемости</w:t>
                      </w:r>
                    </w:p>
                    <w:p w14:paraId="22C435F9"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через </w:t>
                      </w:r>
                      <w:r>
                        <w:rPr>
                          <w:rFonts w:ascii="Times New Roman" w:hAnsi="Times New Roman"/>
                          <w:b/>
                          <w:bCs/>
                          <w:color w:val="000000"/>
                          <w:sz w:val="12"/>
                          <w:szCs w:val="20"/>
                        </w:rPr>
                        <w:t>12</w:t>
                      </w:r>
                      <w:r w:rsidRPr="00F81D8A">
                        <w:rPr>
                          <w:rFonts w:ascii="Times New Roman" w:hAnsi="Times New Roman"/>
                          <w:b/>
                          <w:bCs/>
                          <w:color w:val="000000"/>
                          <w:sz w:val="12"/>
                          <w:szCs w:val="20"/>
                        </w:rPr>
                        <w:t xml:space="preserve"> месяцев</w:t>
                      </w:r>
                    </w:p>
                    <w:p w14:paraId="5C5744EE" w14:textId="77777777" w:rsidR="00F81D8A" w:rsidRPr="005B5FFD" w:rsidRDefault="00F81D8A" w:rsidP="00F81D8A">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033ABAEF" wp14:editId="7F2211F3">
                <wp:simplePos x="0" y="0"/>
                <wp:positionH relativeFrom="column">
                  <wp:posOffset>4116705</wp:posOffset>
                </wp:positionH>
                <wp:positionV relativeFrom="paragraph">
                  <wp:posOffset>1227455</wp:posOffset>
                </wp:positionV>
                <wp:extent cx="1346835" cy="21844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18440"/>
                        </a:xfrm>
                        <a:prstGeom prst="rect">
                          <a:avLst/>
                        </a:prstGeom>
                        <a:solidFill>
                          <a:srgbClr val="FFFFFF"/>
                        </a:solidFill>
                        <a:ln>
                          <a:noFill/>
                        </a:ln>
                      </wps:spPr>
                      <wps:txbx>
                        <w:txbxContent>
                          <w:p w14:paraId="5D8F1F86" w14:textId="77777777" w:rsidR="00F81D8A" w:rsidRPr="003947E5" w:rsidRDefault="00F81D8A" w:rsidP="00F81D8A">
                            <w:pPr>
                              <w:spacing w:after="0" w:line="240" w:lineRule="auto"/>
                              <w:rPr>
                                <w:rFonts w:ascii="Times New Roman" w:hAnsi="Times New Roman"/>
                                <w:color w:val="FF0000"/>
                                <w:sz w:val="12"/>
                                <w:szCs w:val="20"/>
                              </w:rPr>
                            </w:pPr>
                            <w:r>
                              <w:rPr>
                                <w:rFonts w:ascii="Times New Roman" w:hAnsi="Times New Roman"/>
                                <w:color w:val="FF0000"/>
                                <w:sz w:val="12"/>
                                <w:szCs w:val="20"/>
                              </w:rPr>
                              <w:t>54</w:t>
                            </w:r>
                            <w:r w:rsidRPr="003947E5">
                              <w:rPr>
                                <w:rFonts w:ascii="Times New Roman" w:hAnsi="Times New Roman"/>
                                <w:color w:val="FF0000"/>
                                <w:sz w:val="12"/>
                                <w:szCs w:val="20"/>
                              </w:rPr>
                              <w:t xml:space="preserve">%                     </w:t>
                            </w:r>
                            <w:r>
                              <w:rPr>
                                <w:rFonts w:ascii="Times New Roman" w:hAnsi="Times New Roman"/>
                                <w:color w:val="FF0000"/>
                                <w:sz w:val="12"/>
                                <w:szCs w:val="20"/>
                              </w:rPr>
                              <w:t>31</w:t>
                            </w:r>
                            <w:r w:rsidRPr="003947E5">
                              <w:rPr>
                                <w:rFonts w:ascii="Times New Roman" w:hAnsi="Times New Roman"/>
                                <w:color w:val="FF0000"/>
                                <w:sz w:val="12"/>
                                <w:szCs w:val="20"/>
                              </w:rPr>
                              <w:t xml:space="preserve">% </w:t>
                            </w:r>
                          </w:p>
                          <w:p w14:paraId="56B94C44" w14:textId="77777777" w:rsidR="00F81D8A" w:rsidRPr="003947E5" w:rsidRDefault="00F81D8A" w:rsidP="00F81D8A">
                            <w:pPr>
                              <w:spacing w:after="0" w:line="240" w:lineRule="auto"/>
                              <w:rPr>
                                <w:rFonts w:ascii="Times New Roman" w:hAnsi="Times New Roman"/>
                                <w:sz w:val="12"/>
                                <w:szCs w:val="20"/>
                              </w:rPr>
                            </w:pPr>
                            <w:r>
                              <w:rPr>
                                <w:rFonts w:ascii="Times New Roman" w:hAnsi="Times New Roman"/>
                                <w:color w:val="000000"/>
                                <w:sz w:val="12"/>
                                <w:szCs w:val="20"/>
                              </w:rPr>
                              <w:t>34</w:t>
                            </w:r>
                            <w:r w:rsidRPr="00F81D8A">
                              <w:rPr>
                                <w:rFonts w:ascii="Times New Roman" w:hAnsi="Times New Roman"/>
                                <w:color w:val="000000"/>
                                <w:sz w:val="12"/>
                                <w:szCs w:val="20"/>
                              </w:rPr>
                              <w:t>%</w:t>
                            </w:r>
                            <w:r w:rsidRPr="003947E5">
                              <w:rPr>
                                <w:rFonts w:ascii="Times New Roman" w:hAnsi="Times New Roman"/>
                                <w:color w:val="FF0000"/>
                                <w:sz w:val="12"/>
                                <w:szCs w:val="20"/>
                              </w:rPr>
                              <w:t xml:space="preserve">                     </w:t>
                            </w:r>
                            <w:r>
                              <w:rPr>
                                <w:rFonts w:ascii="Times New Roman" w:hAnsi="Times New Roman"/>
                                <w:color w:val="000000"/>
                                <w:sz w:val="12"/>
                                <w:szCs w:val="20"/>
                              </w:rPr>
                              <w:t>13</w:t>
                            </w:r>
                            <w:r w:rsidRPr="00F81D8A">
                              <w:rPr>
                                <w:rFonts w:ascii="Times New Roman" w:hAnsi="Times New Roman"/>
                                <w:color w:val="000000"/>
                                <w:sz w:val="12"/>
                                <w:szCs w:val="20"/>
                              </w:rPr>
                              <w:t>%</w:t>
                            </w:r>
                            <w:r w:rsidRPr="003947E5">
                              <w:rPr>
                                <w:rFonts w:ascii="Times New Roman" w:hAnsi="Times New Roman"/>
                                <w:color w:val="FF0000"/>
                                <w:sz w:val="12"/>
                                <w:szCs w:val="20"/>
                              </w:rPr>
                              <w:t xml:space="preserve"> </w:t>
                            </w:r>
                            <w:r w:rsidRPr="003947E5">
                              <w:rPr>
                                <w:rFonts w:ascii="Times New Roman" w:hAnsi="Times New Roman"/>
                                <w:sz w:val="12"/>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ABAEF" id="_x0000_s1039" type="#_x0000_t202" style="position:absolute;left:0;text-align:left;margin-left:324.15pt;margin-top:96.65pt;width:106.0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" stroked="f">
                <v:textbox inset="0,0,0,0">
                  <w:txbxContent>
                    <w:p w14:paraId="5D8F1F86" w14:textId="77777777" w:rsidR="00F81D8A" w:rsidRPr="003947E5" w:rsidRDefault="00F81D8A" w:rsidP="00F81D8A">
                      <w:pPr>
                        <w:spacing w:after="0" w:line="240" w:lineRule="auto"/>
                        <w:rPr>
                          <w:rFonts w:ascii="Times New Roman" w:hAnsi="Times New Roman"/>
                          <w:color w:val="FF0000"/>
                          <w:sz w:val="12"/>
                          <w:szCs w:val="20"/>
                        </w:rPr>
                      </w:pPr>
                      <w:r>
                        <w:rPr>
                          <w:rFonts w:ascii="Times New Roman" w:hAnsi="Times New Roman"/>
                          <w:color w:val="FF0000"/>
                          <w:sz w:val="12"/>
                          <w:szCs w:val="20"/>
                        </w:rPr>
                        <w:t>54</w:t>
                      </w:r>
                      <w:r w:rsidRPr="003947E5">
                        <w:rPr>
                          <w:rFonts w:ascii="Times New Roman" w:hAnsi="Times New Roman"/>
                          <w:color w:val="FF0000"/>
                          <w:sz w:val="12"/>
                          <w:szCs w:val="20"/>
                        </w:rPr>
                        <w:t xml:space="preserve">%                     </w:t>
                      </w:r>
                      <w:r>
                        <w:rPr>
                          <w:rFonts w:ascii="Times New Roman" w:hAnsi="Times New Roman"/>
                          <w:color w:val="FF0000"/>
                          <w:sz w:val="12"/>
                          <w:szCs w:val="20"/>
                        </w:rPr>
                        <w:t>31</w:t>
                      </w:r>
                      <w:r w:rsidRPr="003947E5">
                        <w:rPr>
                          <w:rFonts w:ascii="Times New Roman" w:hAnsi="Times New Roman"/>
                          <w:color w:val="FF0000"/>
                          <w:sz w:val="12"/>
                          <w:szCs w:val="20"/>
                        </w:rPr>
                        <w:t xml:space="preserve">% </w:t>
                      </w:r>
                    </w:p>
                    <w:p w14:paraId="56B94C44" w14:textId="77777777" w:rsidR="00F81D8A" w:rsidRPr="003947E5" w:rsidRDefault="00F81D8A" w:rsidP="00F81D8A">
                      <w:pPr>
                        <w:spacing w:after="0" w:line="240" w:lineRule="auto"/>
                        <w:rPr>
                          <w:rFonts w:ascii="Times New Roman" w:hAnsi="Times New Roman"/>
                          <w:sz w:val="12"/>
                          <w:szCs w:val="20"/>
                        </w:rPr>
                      </w:pPr>
                      <w:r>
                        <w:rPr>
                          <w:rFonts w:ascii="Times New Roman" w:hAnsi="Times New Roman"/>
                          <w:color w:val="000000"/>
                          <w:sz w:val="12"/>
                          <w:szCs w:val="20"/>
                        </w:rPr>
                        <w:t>34</w:t>
                      </w:r>
                      <w:r w:rsidRPr="00F81D8A">
                        <w:rPr>
                          <w:rFonts w:ascii="Times New Roman" w:hAnsi="Times New Roman"/>
                          <w:color w:val="000000"/>
                          <w:sz w:val="12"/>
                          <w:szCs w:val="20"/>
                        </w:rPr>
                        <w:t>%</w:t>
                      </w:r>
                      <w:r w:rsidRPr="003947E5">
                        <w:rPr>
                          <w:rFonts w:ascii="Times New Roman" w:hAnsi="Times New Roman"/>
                          <w:color w:val="FF0000"/>
                          <w:sz w:val="12"/>
                          <w:szCs w:val="20"/>
                        </w:rPr>
                        <w:t xml:space="preserve">                     </w:t>
                      </w:r>
                      <w:r>
                        <w:rPr>
                          <w:rFonts w:ascii="Times New Roman" w:hAnsi="Times New Roman"/>
                          <w:color w:val="000000"/>
                          <w:sz w:val="12"/>
                          <w:szCs w:val="20"/>
                        </w:rPr>
                        <w:t>13</w:t>
                      </w:r>
                      <w:r w:rsidRPr="00F81D8A">
                        <w:rPr>
                          <w:rFonts w:ascii="Times New Roman" w:hAnsi="Times New Roman"/>
                          <w:color w:val="000000"/>
                          <w:sz w:val="12"/>
                          <w:szCs w:val="20"/>
                        </w:rPr>
                        <w:t>%</w:t>
                      </w:r>
                      <w:r w:rsidRPr="003947E5">
                        <w:rPr>
                          <w:rFonts w:ascii="Times New Roman" w:hAnsi="Times New Roman"/>
                          <w:color w:val="FF0000"/>
                          <w:sz w:val="12"/>
                          <w:szCs w:val="20"/>
                        </w:rPr>
                        <w:t xml:space="preserve"> </w:t>
                      </w:r>
                      <w:r w:rsidRPr="003947E5">
                        <w:rPr>
                          <w:rFonts w:ascii="Times New Roman" w:hAnsi="Times New Roman"/>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5917A126" wp14:editId="7A8E01BF">
                <wp:simplePos x="0" y="0"/>
                <wp:positionH relativeFrom="column">
                  <wp:posOffset>2873375</wp:posOffset>
                </wp:positionH>
                <wp:positionV relativeFrom="paragraph">
                  <wp:posOffset>1227455</wp:posOffset>
                </wp:positionV>
                <wp:extent cx="1346835" cy="2184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18440"/>
                        </a:xfrm>
                        <a:prstGeom prst="rect">
                          <a:avLst/>
                        </a:prstGeom>
                        <a:solidFill>
                          <a:srgbClr val="FFFFFF"/>
                        </a:solidFill>
                        <a:ln>
                          <a:noFill/>
                        </a:ln>
                      </wps:spPr>
                      <wps:txbx>
                        <w:txbxContent>
                          <w:p w14:paraId="7A384A43" w14:textId="77777777" w:rsidR="00F81D8A" w:rsidRPr="003947E5" w:rsidRDefault="00F81D8A" w:rsidP="00F81D8A">
                            <w:pPr>
                              <w:spacing w:after="0" w:line="240" w:lineRule="auto"/>
                              <w:rPr>
                                <w:rFonts w:ascii="Times New Roman" w:hAnsi="Times New Roman"/>
                                <w:b/>
                                <w:bCs/>
                                <w:color w:val="FF0000"/>
                                <w:sz w:val="12"/>
                                <w:szCs w:val="20"/>
                              </w:rPr>
                            </w:pPr>
                            <w:r w:rsidRPr="003947E5">
                              <w:rPr>
                                <w:rFonts w:ascii="Times New Roman" w:hAnsi="Times New Roman"/>
                                <w:b/>
                                <w:bCs/>
                                <w:color w:val="FF0000"/>
                                <w:sz w:val="12"/>
                                <w:szCs w:val="20"/>
                              </w:rPr>
                              <w:t>Ленватиниб + пембролизумаб</w:t>
                            </w:r>
                          </w:p>
                          <w:p w14:paraId="5C85F396" w14:textId="77777777" w:rsidR="00F81D8A" w:rsidRPr="003947E5" w:rsidRDefault="00F81D8A" w:rsidP="00F81D8A">
                            <w:pPr>
                              <w:spacing w:after="0" w:line="240" w:lineRule="auto"/>
                              <w:rPr>
                                <w:rFonts w:ascii="Times New Roman" w:hAnsi="Times New Roman"/>
                                <w:sz w:val="12"/>
                                <w:szCs w:val="20"/>
                              </w:rPr>
                            </w:pPr>
                            <w:r w:rsidRPr="003947E5">
                              <w:rPr>
                                <w:rFonts w:ascii="Times New Roman" w:hAnsi="Times New Roman"/>
                                <w:b/>
                                <w:bCs/>
                                <w:sz w:val="12"/>
                                <w:szCs w:val="20"/>
                              </w:rPr>
                              <w:t xml:space="preserve">Доксорубицин или паклитаксел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7A126" id="_x0000_s1040" type="#_x0000_t202" style="position:absolute;left:0;text-align:left;margin-left:226.25pt;margin-top:96.65pt;width:106.0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" stroked="f">
                <v:textbox inset="0,0,0,0">
                  <w:txbxContent>
                    <w:p w14:paraId="7A384A43" w14:textId="77777777" w:rsidR="00F81D8A" w:rsidRPr="003947E5" w:rsidRDefault="00F81D8A" w:rsidP="00F81D8A">
                      <w:pPr>
                        <w:spacing w:after="0" w:line="240" w:lineRule="auto"/>
                        <w:rPr>
                          <w:rFonts w:ascii="Times New Roman" w:hAnsi="Times New Roman"/>
                          <w:b/>
                          <w:bCs/>
                          <w:color w:val="FF0000"/>
                          <w:sz w:val="12"/>
                          <w:szCs w:val="20"/>
                        </w:rPr>
                      </w:pPr>
                      <w:r w:rsidRPr="003947E5">
                        <w:rPr>
                          <w:rFonts w:ascii="Times New Roman" w:hAnsi="Times New Roman"/>
                          <w:b/>
                          <w:bCs/>
                          <w:color w:val="FF0000"/>
                          <w:sz w:val="12"/>
                          <w:szCs w:val="20"/>
                        </w:rPr>
                        <w:t>Ленватиниб + пембролизумаб</w:t>
                      </w:r>
                    </w:p>
                    <w:p w14:paraId="5C85F396" w14:textId="77777777" w:rsidR="00F81D8A" w:rsidRPr="003947E5" w:rsidRDefault="00F81D8A" w:rsidP="00F81D8A">
                      <w:pPr>
                        <w:spacing w:after="0" w:line="240" w:lineRule="auto"/>
                        <w:rPr>
                          <w:rFonts w:ascii="Times New Roman" w:hAnsi="Times New Roman"/>
                          <w:sz w:val="12"/>
                          <w:szCs w:val="20"/>
                        </w:rPr>
                      </w:pPr>
                      <w:r w:rsidRPr="003947E5">
                        <w:rPr>
                          <w:rFonts w:ascii="Times New Roman" w:hAnsi="Times New Roman"/>
                          <w:b/>
                          <w:bCs/>
                          <w:sz w:val="12"/>
                          <w:szCs w:val="20"/>
                        </w:rPr>
                        <w:t xml:space="preserve">Доксорубицин или паклитаксел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8240" behindDoc="0" locked="0" layoutInCell="1" allowOverlap="1" wp14:anchorId="34E5FF83" wp14:editId="768819A1">
                <wp:simplePos x="0" y="0"/>
                <wp:positionH relativeFrom="column">
                  <wp:posOffset>3589020</wp:posOffset>
                </wp:positionH>
                <wp:positionV relativeFrom="paragraph">
                  <wp:posOffset>193675</wp:posOffset>
                </wp:positionV>
                <wp:extent cx="1924050" cy="663575"/>
                <wp:effectExtent l="0" t="0" r="0" b="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63575"/>
                        </a:xfrm>
                        <a:prstGeom prst="rect">
                          <a:avLst/>
                        </a:prstGeom>
                        <a:solidFill>
                          <a:srgbClr val="FFFFFF"/>
                        </a:solidFill>
                        <a:ln>
                          <a:noFill/>
                        </a:ln>
                      </wps:spPr>
                      <wps:txbx>
                        <w:txbxContent>
                          <w:p w14:paraId="0B30A69B" w14:textId="77777777" w:rsidR="005B5FFD" w:rsidRPr="00492564" w:rsidRDefault="005B5FFD" w:rsidP="005B5FFD">
                            <w:pPr>
                              <w:spacing w:after="0" w:line="240" w:lineRule="auto"/>
                              <w:rPr>
                                <w:rFonts w:ascii="Times New Roman" w:hAnsi="Times New Roman"/>
                                <w:b/>
                                <w:bCs/>
                                <w:sz w:val="14"/>
                              </w:rPr>
                            </w:pPr>
                            <w:r w:rsidRPr="00492564">
                              <w:rPr>
                                <w:rFonts w:ascii="Times New Roman" w:hAnsi="Times New Roman"/>
                                <w:b/>
                                <w:bCs/>
                                <w:sz w:val="14"/>
                              </w:rPr>
                              <w:t>Медиана (месяцы) (9</w:t>
                            </w:r>
                            <w:r>
                              <w:rPr>
                                <w:rFonts w:ascii="Times New Roman" w:hAnsi="Times New Roman"/>
                                <w:b/>
                                <w:bCs/>
                                <w:sz w:val="14"/>
                              </w:rPr>
                              <w:t>6</w:t>
                            </w:r>
                            <w:r w:rsidRPr="00492564">
                              <w:rPr>
                                <w:rFonts w:ascii="Times New Roman" w:hAnsi="Times New Roman"/>
                                <w:b/>
                                <w:bCs/>
                                <w:sz w:val="14"/>
                              </w:rPr>
                              <w:t>% ДИ)</w:t>
                            </w:r>
                          </w:p>
                          <w:p w14:paraId="64744F44" w14:textId="77777777" w:rsidR="005B5FFD" w:rsidRPr="003947E5" w:rsidRDefault="005B5FFD" w:rsidP="005B5FFD">
                            <w:pPr>
                              <w:spacing w:after="0" w:line="240" w:lineRule="auto"/>
                              <w:rPr>
                                <w:rFonts w:ascii="Times New Roman" w:hAnsi="Times New Roman"/>
                                <w:color w:val="FF0000"/>
                                <w:sz w:val="14"/>
                              </w:rPr>
                            </w:pPr>
                            <w:r>
                              <w:rPr>
                                <w:rFonts w:ascii="Times New Roman" w:hAnsi="Times New Roman"/>
                                <w:b/>
                                <w:bCs/>
                                <w:color w:val="FF0000"/>
                                <w:sz w:val="14"/>
                              </w:rPr>
                              <w:t>Ленватиниб</w:t>
                            </w:r>
                            <w:r w:rsidRPr="003947E5">
                              <w:rPr>
                                <w:rFonts w:ascii="Times New Roman" w:hAnsi="Times New Roman"/>
                                <w:b/>
                                <w:bCs/>
                                <w:color w:val="FF0000"/>
                                <w:sz w:val="14"/>
                              </w:rPr>
                              <w:t xml:space="preserve"> + Пембролизумаб:</w:t>
                            </w:r>
                            <w:r w:rsidRPr="003947E5">
                              <w:rPr>
                                <w:rFonts w:ascii="Times New Roman" w:hAnsi="Times New Roman"/>
                                <w:color w:val="FF0000"/>
                                <w:sz w:val="14"/>
                              </w:rPr>
                              <w:t xml:space="preserve"> </w:t>
                            </w:r>
                            <w:r>
                              <w:rPr>
                                <w:rFonts w:ascii="Times New Roman" w:hAnsi="Times New Roman"/>
                                <w:color w:val="FF0000"/>
                                <w:sz w:val="14"/>
                              </w:rPr>
                              <w:t xml:space="preserve">7.2 </w:t>
                            </w:r>
                            <w:r w:rsidRPr="003947E5">
                              <w:rPr>
                                <w:rFonts w:ascii="Times New Roman" w:hAnsi="Times New Roman"/>
                                <w:color w:val="FF0000"/>
                                <w:sz w:val="14"/>
                              </w:rPr>
                              <w:t>(</w:t>
                            </w:r>
                            <w:r>
                              <w:rPr>
                                <w:rFonts w:ascii="Times New Roman" w:hAnsi="Times New Roman"/>
                                <w:color w:val="FF0000"/>
                                <w:sz w:val="14"/>
                              </w:rPr>
                              <w:t>5.7, 7.6</w:t>
                            </w:r>
                            <w:r w:rsidRPr="003947E5">
                              <w:rPr>
                                <w:rFonts w:ascii="Times New Roman" w:hAnsi="Times New Roman"/>
                                <w:color w:val="FF0000"/>
                                <w:sz w:val="14"/>
                              </w:rPr>
                              <w:t>)</w:t>
                            </w:r>
                          </w:p>
                          <w:p w14:paraId="5D11BE11" w14:textId="77777777" w:rsidR="005B5FFD" w:rsidRPr="005B5FFD" w:rsidRDefault="005B5FFD" w:rsidP="005B5FFD">
                            <w:pPr>
                              <w:spacing w:after="0" w:line="240" w:lineRule="auto"/>
                              <w:rPr>
                                <w:rFonts w:ascii="Times New Roman" w:hAnsi="Times New Roman"/>
                                <w:color w:val="000000"/>
                                <w:sz w:val="14"/>
                              </w:rPr>
                            </w:pPr>
                            <w:r w:rsidRPr="005B5FFD">
                              <w:rPr>
                                <w:rFonts w:ascii="Times New Roman" w:hAnsi="Times New Roman"/>
                                <w:b/>
                                <w:bCs/>
                                <w:color w:val="000000"/>
                                <w:sz w:val="14"/>
                              </w:rPr>
                              <w:t>Доксарубицин или паклитаксел:</w:t>
                            </w:r>
                            <w:r w:rsidRPr="005B5FFD">
                              <w:rPr>
                                <w:rFonts w:ascii="Times New Roman" w:hAnsi="Times New Roman"/>
                                <w:color w:val="000000"/>
                                <w:sz w:val="14"/>
                              </w:rPr>
                              <w:t xml:space="preserve"> </w:t>
                            </w:r>
                            <w:r w:rsidR="00F81D8A">
                              <w:rPr>
                                <w:rFonts w:ascii="Times New Roman" w:hAnsi="Times New Roman"/>
                                <w:color w:val="000000"/>
                                <w:sz w:val="14"/>
                              </w:rPr>
                              <w:t>3.8</w:t>
                            </w:r>
                            <w:r w:rsidRPr="005B5FFD">
                              <w:rPr>
                                <w:rFonts w:ascii="Times New Roman" w:hAnsi="Times New Roman"/>
                                <w:color w:val="000000"/>
                                <w:sz w:val="14"/>
                              </w:rPr>
                              <w:t xml:space="preserve"> (</w:t>
                            </w:r>
                            <w:r w:rsidR="00F81D8A">
                              <w:rPr>
                                <w:rFonts w:ascii="Times New Roman" w:hAnsi="Times New Roman"/>
                                <w:color w:val="000000"/>
                                <w:sz w:val="14"/>
                              </w:rPr>
                              <w:t>3.6</w:t>
                            </w:r>
                            <w:r w:rsidRPr="005B5FFD">
                              <w:rPr>
                                <w:rFonts w:ascii="Times New Roman" w:hAnsi="Times New Roman"/>
                                <w:color w:val="000000"/>
                                <w:sz w:val="14"/>
                              </w:rPr>
                              <w:t xml:space="preserve">, </w:t>
                            </w:r>
                            <w:r w:rsidR="00F81D8A">
                              <w:rPr>
                                <w:rFonts w:ascii="Times New Roman" w:hAnsi="Times New Roman"/>
                                <w:color w:val="000000"/>
                                <w:sz w:val="14"/>
                              </w:rPr>
                              <w:t>4.2</w:t>
                            </w:r>
                            <w:r w:rsidRPr="005B5FFD">
                              <w:rPr>
                                <w:rFonts w:ascii="Times New Roman" w:hAnsi="Times New Roman"/>
                                <w:color w:val="000000"/>
                                <w:sz w:val="14"/>
                              </w:rPr>
                              <w:t>)</w:t>
                            </w:r>
                          </w:p>
                          <w:p w14:paraId="0CB56E44" w14:textId="77777777" w:rsidR="005B5FFD" w:rsidRPr="005B5FFD" w:rsidRDefault="005B5FFD" w:rsidP="005B5FFD">
                            <w:pPr>
                              <w:spacing w:after="0" w:line="240" w:lineRule="auto"/>
                              <w:rPr>
                                <w:rFonts w:ascii="Times New Roman" w:hAnsi="Times New Roman"/>
                                <w:color w:val="000000"/>
                                <w:sz w:val="14"/>
                              </w:rPr>
                            </w:pPr>
                          </w:p>
                          <w:p w14:paraId="2753E33F" w14:textId="77777777" w:rsidR="005B5FFD" w:rsidRPr="005B5FFD" w:rsidRDefault="005B5FFD" w:rsidP="005B5FFD">
                            <w:pPr>
                              <w:spacing w:after="0" w:line="240" w:lineRule="auto"/>
                              <w:rPr>
                                <w:rFonts w:ascii="Times New Roman" w:hAnsi="Times New Roman"/>
                                <w:color w:val="000000"/>
                                <w:sz w:val="14"/>
                              </w:rPr>
                            </w:pPr>
                            <w:r w:rsidRPr="005B5FFD">
                              <w:rPr>
                                <w:rFonts w:ascii="Times New Roman" w:hAnsi="Times New Roman"/>
                                <w:color w:val="000000"/>
                                <w:sz w:val="14"/>
                              </w:rPr>
                              <w:t>Соотношение рисков (95% ДИ): 0.</w:t>
                            </w:r>
                            <w:r w:rsidR="00F81D8A">
                              <w:rPr>
                                <w:rFonts w:ascii="Times New Roman" w:hAnsi="Times New Roman"/>
                                <w:color w:val="000000"/>
                                <w:sz w:val="14"/>
                              </w:rPr>
                              <w:t>56</w:t>
                            </w:r>
                            <w:r w:rsidRPr="005B5FFD">
                              <w:rPr>
                                <w:rFonts w:ascii="Times New Roman" w:hAnsi="Times New Roman"/>
                                <w:color w:val="000000"/>
                                <w:sz w:val="14"/>
                              </w:rPr>
                              <w:t xml:space="preserve"> (0.</w:t>
                            </w:r>
                            <w:r w:rsidR="00F81D8A">
                              <w:rPr>
                                <w:rFonts w:ascii="Times New Roman" w:hAnsi="Times New Roman"/>
                                <w:color w:val="000000"/>
                                <w:sz w:val="14"/>
                              </w:rPr>
                              <w:t>47</w:t>
                            </w:r>
                            <w:r w:rsidRPr="005B5FFD">
                              <w:rPr>
                                <w:rFonts w:ascii="Times New Roman" w:hAnsi="Times New Roman"/>
                                <w:color w:val="000000"/>
                                <w:sz w:val="14"/>
                              </w:rPr>
                              <w:t>, 0.</w:t>
                            </w:r>
                            <w:r w:rsidR="00F81D8A">
                              <w:rPr>
                                <w:rFonts w:ascii="Times New Roman" w:hAnsi="Times New Roman"/>
                                <w:color w:val="000000"/>
                                <w:sz w:val="14"/>
                              </w:rPr>
                              <w:t>66</w:t>
                            </w:r>
                            <w:r w:rsidRPr="005B5FFD">
                              <w:rPr>
                                <w:rFonts w:ascii="Times New Roman" w:hAnsi="Times New Roman"/>
                                <w:color w:val="000000"/>
                                <w:sz w:val="14"/>
                              </w:rPr>
                              <w:t>)</w:t>
                            </w:r>
                          </w:p>
                          <w:p w14:paraId="5841B8BC" w14:textId="77777777" w:rsidR="005B5FFD" w:rsidRPr="005B5FFD" w:rsidRDefault="00F81D8A" w:rsidP="005B5FFD">
                            <w:pPr>
                              <w:spacing w:after="0" w:line="240" w:lineRule="auto"/>
                              <w:rPr>
                                <w:rFonts w:ascii="Times New Roman" w:hAnsi="Times New Roman"/>
                                <w:color w:val="000000"/>
                                <w:sz w:val="14"/>
                              </w:rPr>
                            </w:pPr>
                            <w:r>
                              <w:rPr>
                                <w:rFonts w:ascii="Times New Roman" w:hAnsi="Times New Roman"/>
                                <w:color w:val="000000"/>
                                <w:sz w:val="14"/>
                                <w:lang w:val="en-US"/>
                              </w:rPr>
                              <w:t xml:space="preserve">Log-Rank </w:t>
                            </w:r>
                            <w:r>
                              <w:rPr>
                                <w:rFonts w:ascii="Times New Roman" w:hAnsi="Times New Roman"/>
                                <w:color w:val="000000"/>
                                <w:sz w:val="14"/>
                              </w:rPr>
                              <w:t>тест: Р</w:t>
                            </w:r>
                            <w:r w:rsidR="005B5FFD" w:rsidRPr="005B5FFD">
                              <w:rPr>
                                <w:rFonts w:ascii="Times New Roman" w:hAnsi="Times New Roman"/>
                                <w:color w:val="000000"/>
                                <w:sz w:val="14"/>
                              </w:rPr>
                              <w:t xml:space="preserve"> </w:t>
                            </w:r>
                            <w:r w:rsidR="005B5FFD" w:rsidRPr="00F81D8A">
                              <w:rPr>
                                <w:rFonts w:ascii="Times New Roman" w:hAnsi="Times New Roman"/>
                                <w:color w:val="000000"/>
                                <w:sz w:val="14"/>
                              </w:rPr>
                              <w:t>&lt;</w:t>
                            </w:r>
                            <w:r w:rsidR="005B5FFD" w:rsidRPr="005B5FFD">
                              <w:rPr>
                                <w:rFonts w:ascii="Times New Roman" w:hAnsi="Times New Roman"/>
                                <w:color w:val="000000"/>
                                <w:sz w:val="14"/>
                              </w:rPr>
                              <w:t>0.0001</w:t>
                            </w:r>
                          </w:p>
                          <w:p w14:paraId="6C58DDC2" w14:textId="77777777" w:rsidR="005B5FFD" w:rsidRPr="00492564" w:rsidRDefault="005B5FFD" w:rsidP="005B5FFD">
                            <w:pPr>
                              <w:spacing w:after="0" w:line="240" w:lineRule="auto"/>
                              <w:rPr>
                                <w:rFonts w:ascii="Times New Roman" w:hAnsi="Times New Roman"/>
                                <w:sz w:val="14"/>
                              </w:rPr>
                            </w:pPr>
                          </w:p>
                          <w:p w14:paraId="28405709" w14:textId="77777777" w:rsidR="005B5FFD" w:rsidRPr="00492564" w:rsidRDefault="005B5FFD" w:rsidP="005B5FFD">
                            <w:pPr>
                              <w:spacing w:after="0" w:line="240" w:lineRule="auto"/>
                              <w:rPr>
                                <w:rFonts w:ascii="Times New Roman" w:hAnsi="Times New Roman"/>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5FF83" id="_x0000_s1041" type="#_x0000_t202" style="position:absolute;left:0;text-align:left;margin-left:282.6pt;margin-top:15.25pt;width:151.5pt;height: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" stroked="f">
                <v:textbox inset="0,0,0,0">
                  <w:txbxContent>
                    <w:p w14:paraId="0B30A69B" w14:textId="77777777" w:rsidR="005B5FFD" w:rsidRPr="00492564" w:rsidRDefault="005B5FFD" w:rsidP="005B5FFD">
                      <w:pPr>
                        <w:spacing w:after="0" w:line="240" w:lineRule="auto"/>
                        <w:rPr>
                          <w:rFonts w:ascii="Times New Roman" w:hAnsi="Times New Roman"/>
                          <w:b/>
                          <w:bCs/>
                          <w:sz w:val="14"/>
                        </w:rPr>
                      </w:pPr>
                      <w:r w:rsidRPr="00492564">
                        <w:rPr>
                          <w:rFonts w:ascii="Times New Roman" w:hAnsi="Times New Roman"/>
                          <w:b/>
                          <w:bCs/>
                          <w:sz w:val="14"/>
                        </w:rPr>
                        <w:t>Медиана (месяцы) (9</w:t>
                      </w:r>
                      <w:r>
                        <w:rPr>
                          <w:rFonts w:ascii="Times New Roman" w:hAnsi="Times New Roman"/>
                          <w:b/>
                          <w:bCs/>
                          <w:sz w:val="14"/>
                        </w:rPr>
                        <w:t>6</w:t>
                      </w:r>
                      <w:r w:rsidRPr="00492564">
                        <w:rPr>
                          <w:rFonts w:ascii="Times New Roman" w:hAnsi="Times New Roman"/>
                          <w:b/>
                          <w:bCs/>
                          <w:sz w:val="14"/>
                        </w:rPr>
                        <w:t>% ДИ)</w:t>
                      </w:r>
                    </w:p>
                    <w:p w14:paraId="64744F44" w14:textId="77777777" w:rsidR="005B5FFD" w:rsidRPr="003947E5" w:rsidRDefault="005B5FFD" w:rsidP="005B5FFD">
                      <w:pPr>
                        <w:spacing w:after="0" w:line="240" w:lineRule="auto"/>
                        <w:rPr>
                          <w:rFonts w:ascii="Times New Roman" w:hAnsi="Times New Roman"/>
                          <w:color w:val="FF0000"/>
                          <w:sz w:val="14"/>
                        </w:rPr>
                      </w:pPr>
                      <w:r>
                        <w:rPr>
                          <w:rFonts w:ascii="Times New Roman" w:hAnsi="Times New Roman"/>
                          <w:b/>
                          <w:bCs/>
                          <w:color w:val="FF0000"/>
                          <w:sz w:val="14"/>
                        </w:rPr>
                        <w:t>Ленватиниб</w:t>
                      </w:r>
                      <w:r w:rsidRPr="003947E5">
                        <w:rPr>
                          <w:rFonts w:ascii="Times New Roman" w:hAnsi="Times New Roman"/>
                          <w:b/>
                          <w:bCs/>
                          <w:color w:val="FF0000"/>
                          <w:sz w:val="14"/>
                        </w:rPr>
                        <w:t xml:space="preserve"> + Пембролизумаб:</w:t>
                      </w:r>
                      <w:r w:rsidRPr="003947E5">
                        <w:rPr>
                          <w:rFonts w:ascii="Times New Roman" w:hAnsi="Times New Roman"/>
                          <w:color w:val="FF0000"/>
                          <w:sz w:val="14"/>
                        </w:rPr>
                        <w:t xml:space="preserve"> </w:t>
                      </w:r>
                      <w:r>
                        <w:rPr>
                          <w:rFonts w:ascii="Times New Roman" w:hAnsi="Times New Roman"/>
                          <w:color w:val="FF0000"/>
                          <w:sz w:val="14"/>
                        </w:rPr>
                        <w:t xml:space="preserve">7.2 </w:t>
                      </w:r>
                      <w:r w:rsidRPr="003947E5">
                        <w:rPr>
                          <w:rFonts w:ascii="Times New Roman" w:hAnsi="Times New Roman"/>
                          <w:color w:val="FF0000"/>
                          <w:sz w:val="14"/>
                        </w:rPr>
                        <w:t>(</w:t>
                      </w:r>
                      <w:r>
                        <w:rPr>
                          <w:rFonts w:ascii="Times New Roman" w:hAnsi="Times New Roman"/>
                          <w:color w:val="FF0000"/>
                          <w:sz w:val="14"/>
                        </w:rPr>
                        <w:t>5.7, 7.6</w:t>
                      </w:r>
                      <w:r w:rsidRPr="003947E5">
                        <w:rPr>
                          <w:rFonts w:ascii="Times New Roman" w:hAnsi="Times New Roman"/>
                          <w:color w:val="FF0000"/>
                          <w:sz w:val="14"/>
                        </w:rPr>
                        <w:t>)</w:t>
                      </w:r>
                    </w:p>
                    <w:p w14:paraId="5D11BE11" w14:textId="77777777" w:rsidR="005B5FFD" w:rsidRPr="005B5FFD" w:rsidRDefault="005B5FFD" w:rsidP="005B5FFD">
                      <w:pPr>
                        <w:spacing w:after="0" w:line="240" w:lineRule="auto"/>
                        <w:rPr>
                          <w:rFonts w:ascii="Times New Roman" w:hAnsi="Times New Roman"/>
                          <w:color w:val="000000"/>
                          <w:sz w:val="14"/>
                        </w:rPr>
                      </w:pPr>
                      <w:r w:rsidRPr="005B5FFD">
                        <w:rPr>
                          <w:rFonts w:ascii="Times New Roman" w:hAnsi="Times New Roman"/>
                          <w:b/>
                          <w:bCs/>
                          <w:color w:val="000000"/>
                          <w:sz w:val="14"/>
                        </w:rPr>
                        <w:t>Доксарубицин или паклитаксел:</w:t>
                      </w:r>
                      <w:r w:rsidRPr="005B5FFD">
                        <w:rPr>
                          <w:rFonts w:ascii="Times New Roman" w:hAnsi="Times New Roman"/>
                          <w:color w:val="000000"/>
                          <w:sz w:val="14"/>
                        </w:rPr>
                        <w:t xml:space="preserve"> </w:t>
                      </w:r>
                      <w:r w:rsidR="00F81D8A">
                        <w:rPr>
                          <w:rFonts w:ascii="Times New Roman" w:hAnsi="Times New Roman"/>
                          <w:color w:val="000000"/>
                          <w:sz w:val="14"/>
                        </w:rPr>
                        <w:t>3.8</w:t>
                      </w:r>
                      <w:r w:rsidRPr="005B5FFD">
                        <w:rPr>
                          <w:rFonts w:ascii="Times New Roman" w:hAnsi="Times New Roman"/>
                          <w:color w:val="000000"/>
                          <w:sz w:val="14"/>
                        </w:rPr>
                        <w:t xml:space="preserve"> (</w:t>
                      </w:r>
                      <w:r w:rsidR="00F81D8A">
                        <w:rPr>
                          <w:rFonts w:ascii="Times New Roman" w:hAnsi="Times New Roman"/>
                          <w:color w:val="000000"/>
                          <w:sz w:val="14"/>
                        </w:rPr>
                        <w:t>3.6</w:t>
                      </w:r>
                      <w:r w:rsidRPr="005B5FFD">
                        <w:rPr>
                          <w:rFonts w:ascii="Times New Roman" w:hAnsi="Times New Roman"/>
                          <w:color w:val="000000"/>
                          <w:sz w:val="14"/>
                        </w:rPr>
                        <w:t xml:space="preserve">, </w:t>
                      </w:r>
                      <w:r w:rsidR="00F81D8A">
                        <w:rPr>
                          <w:rFonts w:ascii="Times New Roman" w:hAnsi="Times New Roman"/>
                          <w:color w:val="000000"/>
                          <w:sz w:val="14"/>
                        </w:rPr>
                        <w:t>4.2</w:t>
                      </w:r>
                      <w:r w:rsidRPr="005B5FFD">
                        <w:rPr>
                          <w:rFonts w:ascii="Times New Roman" w:hAnsi="Times New Roman"/>
                          <w:color w:val="000000"/>
                          <w:sz w:val="14"/>
                        </w:rPr>
                        <w:t>)</w:t>
                      </w:r>
                    </w:p>
                    <w:p w14:paraId="0CB56E44" w14:textId="77777777" w:rsidR="005B5FFD" w:rsidRPr="005B5FFD" w:rsidRDefault="005B5FFD" w:rsidP="005B5FFD">
                      <w:pPr>
                        <w:spacing w:after="0" w:line="240" w:lineRule="auto"/>
                        <w:rPr>
                          <w:rFonts w:ascii="Times New Roman" w:hAnsi="Times New Roman"/>
                          <w:color w:val="000000"/>
                          <w:sz w:val="14"/>
                        </w:rPr>
                      </w:pPr>
                    </w:p>
                    <w:p w14:paraId="2753E33F" w14:textId="77777777" w:rsidR="005B5FFD" w:rsidRPr="005B5FFD" w:rsidRDefault="005B5FFD" w:rsidP="005B5FFD">
                      <w:pPr>
                        <w:spacing w:after="0" w:line="240" w:lineRule="auto"/>
                        <w:rPr>
                          <w:rFonts w:ascii="Times New Roman" w:hAnsi="Times New Roman"/>
                          <w:color w:val="000000"/>
                          <w:sz w:val="14"/>
                        </w:rPr>
                      </w:pPr>
                      <w:r w:rsidRPr="005B5FFD">
                        <w:rPr>
                          <w:rFonts w:ascii="Times New Roman" w:hAnsi="Times New Roman"/>
                          <w:color w:val="000000"/>
                          <w:sz w:val="14"/>
                        </w:rPr>
                        <w:t>Соотношение рисков (95% ДИ): 0.</w:t>
                      </w:r>
                      <w:r w:rsidR="00F81D8A">
                        <w:rPr>
                          <w:rFonts w:ascii="Times New Roman" w:hAnsi="Times New Roman"/>
                          <w:color w:val="000000"/>
                          <w:sz w:val="14"/>
                        </w:rPr>
                        <w:t>56</w:t>
                      </w:r>
                      <w:r w:rsidRPr="005B5FFD">
                        <w:rPr>
                          <w:rFonts w:ascii="Times New Roman" w:hAnsi="Times New Roman"/>
                          <w:color w:val="000000"/>
                          <w:sz w:val="14"/>
                        </w:rPr>
                        <w:t xml:space="preserve"> (0.</w:t>
                      </w:r>
                      <w:r w:rsidR="00F81D8A">
                        <w:rPr>
                          <w:rFonts w:ascii="Times New Roman" w:hAnsi="Times New Roman"/>
                          <w:color w:val="000000"/>
                          <w:sz w:val="14"/>
                        </w:rPr>
                        <w:t>47</w:t>
                      </w:r>
                      <w:r w:rsidRPr="005B5FFD">
                        <w:rPr>
                          <w:rFonts w:ascii="Times New Roman" w:hAnsi="Times New Roman"/>
                          <w:color w:val="000000"/>
                          <w:sz w:val="14"/>
                        </w:rPr>
                        <w:t>, 0.</w:t>
                      </w:r>
                      <w:r w:rsidR="00F81D8A">
                        <w:rPr>
                          <w:rFonts w:ascii="Times New Roman" w:hAnsi="Times New Roman"/>
                          <w:color w:val="000000"/>
                          <w:sz w:val="14"/>
                        </w:rPr>
                        <w:t>66</w:t>
                      </w:r>
                      <w:r w:rsidRPr="005B5FFD">
                        <w:rPr>
                          <w:rFonts w:ascii="Times New Roman" w:hAnsi="Times New Roman"/>
                          <w:color w:val="000000"/>
                          <w:sz w:val="14"/>
                        </w:rPr>
                        <w:t>)</w:t>
                      </w:r>
                    </w:p>
                    <w:p w14:paraId="5841B8BC" w14:textId="77777777" w:rsidR="005B5FFD" w:rsidRPr="005B5FFD" w:rsidRDefault="00F81D8A" w:rsidP="005B5FFD">
                      <w:pPr>
                        <w:spacing w:after="0" w:line="240" w:lineRule="auto"/>
                        <w:rPr>
                          <w:rFonts w:ascii="Times New Roman" w:hAnsi="Times New Roman"/>
                          <w:color w:val="000000"/>
                          <w:sz w:val="14"/>
                        </w:rPr>
                      </w:pPr>
                      <w:r>
                        <w:rPr>
                          <w:rFonts w:ascii="Times New Roman" w:hAnsi="Times New Roman"/>
                          <w:color w:val="000000"/>
                          <w:sz w:val="14"/>
                          <w:lang w:val="en-US"/>
                        </w:rPr>
                        <w:t xml:space="preserve">Log-Rank </w:t>
                      </w:r>
                      <w:r>
                        <w:rPr>
                          <w:rFonts w:ascii="Times New Roman" w:hAnsi="Times New Roman"/>
                          <w:color w:val="000000"/>
                          <w:sz w:val="14"/>
                        </w:rPr>
                        <w:t>тест: Р</w:t>
                      </w:r>
                      <w:r w:rsidR="005B5FFD" w:rsidRPr="005B5FFD">
                        <w:rPr>
                          <w:rFonts w:ascii="Times New Roman" w:hAnsi="Times New Roman"/>
                          <w:color w:val="000000"/>
                          <w:sz w:val="14"/>
                        </w:rPr>
                        <w:t xml:space="preserve"> </w:t>
                      </w:r>
                      <w:r w:rsidR="005B5FFD" w:rsidRPr="00F81D8A">
                        <w:rPr>
                          <w:rFonts w:ascii="Times New Roman" w:hAnsi="Times New Roman"/>
                          <w:color w:val="000000"/>
                          <w:sz w:val="14"/>
                        </w:rPr>
                        <w:t>&lt;</w:t>
                      </w:r>
                      <w:r w:rsidR="005B5FFD" w:rsidRPr="005B5FFD">
                        <w:rPr>
                          <w:rFonts w:ascii="Times New Roman" w:hAnsi="Times New Roman"/>
                          <w:color w:val="000000"/>
                          <w:sz w:val="14"/>
                        </w:rPr>
                        <w:t>0.0001</w:t>
                      </w:r>
                    </w:p>
                    <w:p w14:paraId="6C58DDC2" w14:textId="77777777" w:rsidR="005B5FFD" w:rsidRPr="00492564" w:rsidRDefault="005B5FFD" w:rsidP="005B5FFD">
                      <w:pPr>
                        <w:spacing w:after="0" w:line="240" w:lineRule="auto"/>
                        <w:rPr>
                          <w:rFonts w:ascii="Times New Roman" w:hAnsi="Times New Roman"/>
                          <w:sz w:val="14"/>
                        </w:rPr>
                      </w:pPr>
                    </w:p>
                    <w:p w14:paraId="28405709" w14:textId="77777777" w:rsidR="005B5FFD" w:rsidRPr="00492564" w:rsidRDefault="005B5FFD" w:rsidP="005B5FFD">
                      <w:pPr>
                        <w:spacing w:after="0" w:line="240" w:lineRule="auto"/>
                        <w:rPr>
                          <w:rFonts w:ascii="Times New Roman" w:hAnsi="Times New Roman"/>
                          <w:sz w:val="14"/>
                        </w:rPr>
                      </w:pPr>
                    </w:p>
                  </w:txbxContent>
                </v:textbox>
              </v:shape>
            </w:pict>
          </mc:Fallback>
        </mc:AlternateContent>
      </w:r>
      <w:r w:rsidRPr="005A46FC">
        <w:rPr>
          <w:noProof/>
          <w:lang w:eastAsia="ru-RU"/>
        </w:rPr>
        <w:drawing>
          <wp:inline distT="0" distB="0" distL="0" distR="0" wp14:anchorId="5E4C3BE8" wp14:editId="2DA32E64">
            <wp:extent cx="5699760" cy="24688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5852" b="24570"/>
                    <a:stretch>
                      <a:fillRect/>
                    </a:stretch>
                  </pic:blipFill>
                  <pic:spPr bwMode="auto">
                    <a:xfrm>
                      <a:off x="0" y="0"/>
                      <a:ext cx="5699760" cy="2468880"/>
                    </a:xfrm>
                    <a:prstGeom prst="rect">
                      <a:avLst/>
                    </a:prstGeom>
                    <a:noFill/>
                    <a:ln>
                      <a:noFill/>
                    </a:ln>
                  </pic:spPr>
                </pic:pic>
              </a:graphicData>
            </a:graphic>
          </wp:inline>
        </w:drawing>
      </w:r>
    </w:p>
    <w:p w14:paraId="72ED12F3" w14:textId="77777777" w:rsidR="003947E5" w:rsidRPr="005A46FC" w:rsidRDefault="00F81D8A" w:rsidP="00F81D8A">
      <w:pPr>
        <w:autoSpaceDE w:val="0"/>
        <w:autoSpaceDN w:val="0"/>
        <w:adjustRightInd w:val="0"/>
        <w:spacing w:after="0" w:line="240" w:lineRule="auto"/>
        <w:jc w:val="center"/>
        <w:rPr>
          <w:rFonts w:ascii="Times New Roman" w:hAnsi="Times New Roman"/>
          <w:b/>
          <w:bCs/>
          <w:sz w:val="20"/>
          <w:szCs w:val="20"/>
          <w:lang w:eastAsia="ru-RU"/>
        </w:rPr>
      </w:pPr>
      <w:r w:rsidRPr="005A46FC">
        <w:rPr>
          <w:rFonts w:ascii="Times New Roman" w:hAnsi="Times New Roman"/>
          <w:b/>
          <w:bCs/>
          <w:sz w:val="20"/>
          <w:szCs w:val="20"/>
          <w:lang w:eastAsia="ru-RU"/>
        </w:rPr>
        <w:t>Время (месяцы)</w:t>
      </w:r>
    </w:p>
    <w:p w14:paraId="0BFCF469" w14:textId="77777777" w:rsidR="00F81D8A" w:rsidRPr="005A46FC" w:rsidRDefault="00F81D8A" w:rsidP="00F81D8A">
      <w:pPr>
        <w:autoSpaceDE w:val="0"/>
        <w:autoSpaceDN w:val="0"/>
        <w:adjustRightInd w:val="0"/>
        <w:spacing w:after="0" w:line="240" w:lineRule="auto"/>
        <w:rPr>
          <w:rFonts w:ascii="Times New Roman" w:hAnsi="Times New Roman"/>
          <w:b/>
          <w:bCs/>
          <w:sz w:val="20"/>
          <w:szCs w:val="20"/>
          <w:lang w:eastAsia="ru-RU"/>
        </w:rPr>
      </w:pPr>
      <w:r w:rsidRPr="005A46FC">
        <w:rPr>
          <w:rFonts w:ascii="Times New Roman" w:hAnsi="Times New Roman"/>
          <w:b/>
          <w:bCs/>
          <w:sz w:val="20"/>
          <w:szCs w:val="20"/>
          <w:lang w:eastAsia="ru-RU"/>
        </w:rPr>
        <w:t>Число субъектов риска:</w:t>
      </w:r>
    </w:p>
    <w:tbl>
      <w:tblPr>
        <w:tblW w:w="0" w:type="auto"/>
        <w:tblLook w:val="04A0" w:firstRow="1" w:lastRow="0" w:firstColumn="1" w:lastColumn="0" w:noHBand="0" w:noVBand="1"/>
      </w:tblPr>
      <w:tblGrid>
        <w:gridCol w:w="1280"/>
        <w:gridCol w:w="830"/>
        <w:gridCol w:w="830"/>
        <w:gridCol w:w="830"/>
        <w:gridCol w:w="830"/>
        <w:gridCol w:w="796"/>
        <w:gridCol w:w="796"/>
        <w:gridCol w:w="796"/>
        <w:gridCol w:w="796"/>
        <w:gridCol w:w="763"/>
        <w:gridCol w:w="740"/>
      </w:tblGrid>
      <w:tr w:rsidR="00F81D8A" w:rsidRPr="005A46FC" w14:paraId="291DE304" w14:textId="77777777" w:rsidTr="003222B0">
        <w:tc>
          <w:tcPr>
            <w:tcW w:w="1280" w:type="dxa"/>
            <w:shd w:val="clear" w:color="auto" w:fill="auto"/>
          </w:tcPr>
          <w:p w14:paraId="023904A4" w14:textId="77777777" w:rsidR="00F81D8A" w:rsidRPr="005A46FC" w:rsidRDefault="00F81D8A" w:rsidP="003222B0">
            <w:pPr>
              <w:autoSpaceDE w:val="0"/>
              <w:autoSpaceDN w:val="0"/>
              <w:adjustRightInd w:val="0"/>
              <w:spacing w:after="0" w:line="240" w:lineRule="auto"/>
              <w:rPr>
                <w:rFonts w:ascii="Times New Roman" w:hAnsi="Times New Roman"/>
                <w:color w:val="FF0000"/>
                <w:sz w:val="24"/>
                <w:szCs w:val="24"/>
                <w:lang w:eastAsia="ru-RU"/>
              </w:rPr>
            </w:pPr>
            <w:r w:rsidRPr="005A46FC">
              <w:rPr>
                <w:rFonts w:ascii="Times New Roman" w:hAnsi="Times New Roman"/>
                <w:color w:val="FF0000"/>
                <w:sz w:val="16"/>
                <w:szCs w:val="16"/>
                <w:lang w:eastAsia="ru-RU"/>
              </w:rPr>
              <w:t>Ленватиниб + пембролизумаб</w:t>
            </w:r>
          </w:p>
        </w:tc>
        <w:tc>
          <w:tcPr>
            <w:tcW w:w="830" w:type="dxa"/>
            <w:shd w:val="clear" w:color="auto" w:fill="auto"/>
          </w:tcPr>
          <w:p w14:paraId="6073A64C"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411</w:t>
            </w:r>
          </w:p>
        </w:tc>
        <w:tc>
          <w:tcPr>
            <w:tcW w:w="830" w:type="dxa"/>
            <w:shd w:val="clear" w:color="auto" w:fill="auto"/>
          </w:tcPr>
          <w:p w14:paraId="4FBF9D95"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316</w:t>
            </w:r>
          </w:p>
        </w:tc>
        <w:tc>
          <w:tcPr>
            <w:tcW w:w="830" w:type="dxa"/>
            <w:shd w:val="clear" w:color="auto" w:fill="auto"/>
          </w:tcPr>
          <w:p w14:paraId="050D4429"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202</w:t>
            </w:r>
          </w:p>
        </w:tc>
        <w:tc>
          <w:tcPr>
            <w:tcW w:w="830" w:type="dxa"/>
            <w:shd w:val="clear" w:color="auto" w:fill="auto"/>
          </w:tcPr>
          <w:p w14:paraId="68FC8301"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144</w:t>
            </w:r>
          </w:p>
        </w:tc>
        <w:tc>
          <w:tcPr>
            <w:tcW w:w="796" w:type="dxa"/>
            <w:shd w:val="clear" w:color="auto" w:fill="auto"/>
          </w:tcPr>
          <w:p w14:paraId="3A3A9A5A"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86</w:t>
            </w:r>
          </w:p>
        </w:tc>
        <w:tc>
          <w:tcPr>
            <w:tcW w:w="796" w:type="dxa"/>
            <w:shd w:val="clear" w:color="auto" w:fill="auto"/>
          </w:tcPr>
          <w:p w14:paraId="75403221"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56</w:t>
            </w:r>
          </w:p>
        </w:tc>
        <w:tc>
          <w:tcPr>
            <w:tcW w:w="796" w:type="dxa"/>
            <w:shd w:val="clear" w:color="auto" w:fill="auto"/>
          </w:tcPr>
          <w:p w14:paraId="3AD0081C"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43</w:t>
            </w:r>
          </w:p>
        </w:tc>
        <w:tc>
          <w:tcPr>
            <w:tcW w:w="796" w:type="dxa"/>
            <w:shd w:val="clear" w:color="auto" w:fill="auto"/>
          </w:tcPr>
          <w:p w14:paraId="59D3F835"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17</w:t>
            </w:r>
          </w:p>
        </w:tc>
        <w:tc>
          <w:tcPr>
            <w:tcW w:w="763" w:type="dxa"/>
            <w:shd w:val="clear" w:color="auto" w:fill="auto"/>
          </w:tcPr>
          <w:p w14:paraId="33E5E185"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6</w:t>
            </w:r>
          </w:p>
        </w:tc>
        <w:tc>
          <w:tcPr>
            <w:tcW w:w="740" w:type="dxa"/>
            <w:shd w:val="clear" w:color="auto" w:fill="auto"/>
          </w:tcPr>
          <w:p w14:paraId="1509841C"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0</w:t>
            </w:r>
          </w:p>
        </w:tc>
      </w:tr>
      <w:tr w:rsidR="00F81D8A" w:rsidRPr="005A46FC" w14:paraId="501478A8" w14:textId="77777777" w:rsidTr="003222B0">
        <w:tc>
          <w:tcPr>
            <w:tcW w:w="1280" w:type="dxa"/>
            <w:shd w:val="clear" w:color="auto" w:fill="auto"/>
          </w:tcPr>
          <w:p w14:paraId="7A9AD6CF" w14:textId="77777777" w:rsidR="00F81D8A" w:rsidRPr="005A46FC" w:rsidRDefault="00F81D8A"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16"/>
                <w:szCs w:val="16"/>
                <w:lang w:eastAsia="ru-RU"/>
              </w:rPr>
              <w:t>Доксорубицин или паклитаксел</w:t>
            </w:r>
          </w:p>
        </w:tc>
        <w:tc>
          <w:tcPr>
            <w:tcW w:w="830" w:type="dxa"/>
            <w:shd w:val="clear" w:color="auto" w:fill="auto"/>
          </w:tcPr>
          <w:p w14:paraId="212FB28B"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416</w:t>
            </w:r>
          </w:p>
        </w:tc>
        <w:tc>
          <w:tcPr>
            <w:tcW w:w="830" w:type="dxa"/>
            <w:shd w:val="clear" w:color="auto" w:fill="auto"/>
          </w:tcPr>
          <w:p w14:paraId="3DE15557"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214</w:t>
            </w:r>
          </w:p>
        </w:tc>
        <w:tc>
          <w:tcPr>
            <w:tcW w:w="830" w:type="dxa"/>
            <w:shd w:val="clear" w:color="auto" w:fill="auto"/>
          </w:tcPr>
          <w:p w14:paraId="0893B217"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95</w:t>
            </w:r>
          </w:p>
        </w:tc>
        <w:tc>
          <w:tcPr>
            <w:tcW w:w="830" w:type="dxa"/>
            <w:shd w:val="clear" w:color="auto" w:fill="auto"/>
          </w:tcPr>
          <w:p w14:paraId="2523DAC6"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42</w:t>
            </w:r>
          </w:p>
        </w:tc>
        <w:tc>
          <w:tcPr>
            <w:tcW w:w="796" w:type="dxa"/>
            <w:shd w:val="clear" w:color="auto" w:fill="auto"/>
          </w:tcPr>
          <w:p w14:paraId="6B8C9D2B"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18</w:t>
            </w:r>
          </w:p>
        </w:tc>
        <w:tc>
          <w:tcPr>
            <w:tcW w:w="796" w:type="dxa"/>
            <w:shd w:val="clear" w:color="auto" w:fill="auto"/>
          </w:tcPr>
          <w:p w14:paraId="0C766027"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10</w:t>
            </w:r>
          </w:p>
        </w:tc>
        <w:tc>
          <w:tcPr>
            <w:tcW w:w="796" w:type="dxa"/>
            <w:shd w:val="clear" w:color="auto" w:fill="auto"/>
          </w:tcPr>
          <w:p w14:paraId="34537071"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4</w:t>
            </w:r>
          </w:p>
        </w:tc>
        <w:tc>
          <w:tcPr>
            <w:tcW w:w="796" w:type="dxa"/>
            <w:shd w:val="clear" w:color="auto" w:fill="auto"/>
          </w:tcPr>
          <w:p w14:paraId="000D6257"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w:t>
            </w:r>
          </w:p>
        </w:tc>
        <w:tc>
          <w:tcPr>
            <w:tcW w:w="763" w:type="dxa"/>
            <w:shd w:val="clear" w:color="auto" w:fill="auto"/>
          </w:tcPr>
          <w:p w14:paraId="1C825B6E"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w:t>
            </w:r>
          </w:p>
        </w:tc>
        <w:tc>
          <w:tcPr>
            <w:tcW w:w="740" w:type="dxa"/>
            <w:shd w:val="clear" w:color="auto" w:fill="auto"/>
          </w:tcPr>
          <w:p w14:paraId="4FFA4ACD"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0</w:t>
            </w:r>
          </w:p>
        </w:tc>
      </w:tr>
    </w:tbl>
    <w:p w14:paraId="3C65AB3C" w14:textId="77777777" w:rsidR="00F81D8A" w:rsidRPr="005A46FC" w:rsidRDefault="00F81D8A" w:rsidP="00F81D8A">
      <w:pPr>
        <w:autoSpaceDE w:val="0"/>
        <w:autoSpaceDN w:val="0"/>
        <w:adjustRightInd w:val="0"/>
        <w:spacing w:after="0" w:line="240" w:lineRule="auto"/>
        <w:rPr>
          <w:rFonts w:ascii="Times New Roman" w:hAnsi="Times New Roman"/>
          <w:sz w:val="24"/>
          <w:szCs w:val="24"/>
          <w:lang w:eastAsia="ru-RU"/>
        </w:rPr>
      </w:pPr>
    </w:p>
    <w:p w14:paraId="2366ED59" w14:textId="77777777" w:rsidR="00066B70" w:rsidRPr="005A46FC" w:rsidRDefault="00066B70" w:rsidP="00066B70">
      <w:pPr>
        <w:autoSpaceDE w:val="0"/>
        <w:autoSpaceDN w:val="0"/>
        <w:adjustRightInd w:val="0"/>
        <w:spacing w:after="0" w:line="240" w:lineRule="auto"/>
        <w:jc w:val="both"/>
        <w:rPr>
          <w:rFonts w:ascii="Times New Roman" w:hAnsi="Times New Roman"/>
          <w:i/>
          <w:iCs/>
          <w:sz w:val="24"/>
          <w:szCs w:val="24"/>
          <w:u w:val="single"/>
          <w:lang w:eastAsia="ru-RU"/>
        </w:rPr>
      </w:pPr>
      <w:r w:rsidRPr="005A46FC">
        <w:rPr>
          <w:rFonts w:ascii="Times New Roman" w:hAnsi="Times New Roman"/>
          <w:i/>
          <w:iCs/>
          <w:sz w:val="24"/>
          <w:szCs w:val="24"/>
          <w:u w:val="single"/>
          <w:lang w:eastAsia="ru-RU"/>
        </w:rPr>
        <w:lastRenderedPageBreak/>
        <w:t>Удлинение интервала QT</w:t>
      </w:r>
    </w:p>
    <w:p w14:paraId="3EAC2CEC" w14:textId="77777777" w:rsidR="00066B70" w:rsidRPr="005A46FC" w:rsidRDefault="00066B70" w:rsidP="00066B7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Однократный прием ленватиниба в дозе 32 мг не удлинял интервал QT/QTc на основании результатов тщательного исследования интервала QT у здоровых добровольцев; однако сообщалось о большей частоте удлинения интервала QT/QTc у пациентов, получавших ленватиниб, чем у пациентов, получавших плацебо (см. разделы 4.4 и 4.8).</w:t>
      </w:r>
    </w:p>
    <w:p w14:paraId="6E443F69" w14:textId="77777777" w:rsidR="00066B70" w:rsidRPr="005A46FC" w:rsidRDefault="00066B70" w:rsidP="00066B70">
      <w:pPr>
        <w:autoSpaceDE w:val="0"/>
        <w:autoSpaceDN w:val="0"/>
        <w:adjustRightInd w:val="0"/>
        <w:spacing w:after="0" w:line="240" w:lineRule="auto"/>
        <w:jc w:val="both"/>
        <w:rPr>
          <w:rFonts w:ascii="Times New Roman" w:hAnsi="Times New Roman"/>
          <w:i/>
          <w:iCs/>
          <w:sz w:val="24"/>
          <w:szCs w:val="24"/>
          <w:u w:val="single"/>
          <w:lang w:eastAsia="ru-RU"/>
        </w:rPr>
      </w:pPr>
      <w:r w:rsidRPr="005A46FC">
        <w:rPr>
          <w:rFonts w:ascii="Times New Roman" w:hAnsi="Times New Roman"/>
          <w:i/>
          <w:iCs/>
          <w:sz w:val="24"/>
          <w:szCs w:val="24"/>
          <w:u w:val="single"/>
          <w:lang w:eastAsia="ru-RU"/>
        </w:rPr>
        <w:t>Дети</w:t>
      </w:r>
    </w:p>
    <w:p w14:paraId="4B418BA4" w14:textId="77777777" w:rsidR="003947E5" w:rsidRPr="005A46FC" w:rsidRDefault="00066B70"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Европейское агентство по лекарственным средствам отказалось от обязательства по представлению результатов исследований ленватиниба в одной или нескольких подгруппах детей при лечении радиойодорезистентного дифференцированного рака щитовидной железы, гепатоцеллюлярного рака (ГЦР) и рака эндометрия (РЭ).</w:t>
      </w:r>
    </w:p>
    <w:p w14:paraId="2C96ED05" w14:textId="77777777" w:rsidR="00A870E4" w:rsidRPr="005A46FC" w:rsidRDefault="00A870E4" w:rsidP="00550514">
      <w:pPr>
        <w:autoSpaceDE w:val="0"/>
        <w:autoSpaceDN w:val="0"/>
        <w:adjustRightInd w:val="0"/>
        <w:spacing w:after="0" w:line="240" w:lineRule="auto"/>
        <w:jc w:val="both"/>
        <w:rPr>
          <w:rFonts w:ascii="Times New Roman" w:hAnsi="Times New Roman"/>
          <w:i/>
          <w:iCs/>
          <w:sz w:val="24"/>
          <w:szCs w:val="24"/>
          <w:u w:val="single"/>
          <w:lang w:eastAsia="ru-RU"/>
        </w:rPr>
      </w:pPr>
      <w:r w:rsidRPr="005A46FC">
        <w:rPr>
          <w:rFonts w:ascii="Times New Roman" w:hAnsi="Times New Roman"/>
          <w:i/>
          <w:iCs/>
          <w:sz w:val="24"/>
          <w:szCs w:val="24"/>
          <w:u w:val="single"/>
          <w:lang w:eastAsia="ru-RU"/>
        </w:rPr>
        <w:t>Исследования у детей</w:t>
      </w:r>
    </w:p>
    <w:p w14:paraId="350F9582" w14:textId="77777777" w:rsidR="00A870E4" w:rsidRPr="005A46FC" w:rsidRDefault="00A870E4" w:rsidP="00A870E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Эффективность ленватиниба оценивалась, но не была установлена в четырех открытых исследованиях:</w:t>
      </w:r>
    </w:p>
    <w:p w14:paraId="31E77B03" w14:textId="77777777" w:rsidR="00A870E4" w:rsidRPr="005A46FC" w:rsidRDefault="00A870E4" w:rsidP="00A870E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Исследование 207 представляло собой открытое многоцентровое исследование фазы 1/2 с подбором дозы и оценкой активности ленватиниба в качестве монотерапии и в комбинации с ифосфамидом и этопозидом у педиатрических пациентов (в возрасте от 2 до &lt;18 лет; </w:t>
      </w:r>
      <w:r w:rsidR="00F5231F" w:rsidRPr="005A46FC">
        <w:rPr>
          <w:rFonts w:ascii="Times New Roman" w:hAnsi="Times New Roman"/>
          <w:sz w:val="24"/>
          <w:szCs w:val="24"/>
          <w:lang w:eastAsia="ru-RU"/>
        </w:rPr>
        <w:t xml:space="preserve">от </w:t>
      </w:r>
      <w:r w:rsidRPr="005A46FC">
        <w:rPr>
          <w:rFonts w:ascii="Times New Roman" w:hAnsi="Times New Roman"/>
          <w:sz w:val="24"/>
          <w:szCs w:val="24"/>
          <w:lang w:eastAsia="ru-RU"/>
        </w:rPr>
        <w:t>2 до ≤25 лет при остеосаркоме) с рецидивирующими или рефрактерными солидными опухолями. Всего было зарегистрировано 97 пациентов. В когорту для подбора дозы монопрепарата ленватиниба были включены 23 пациента, которые получали ленватиниб перорально один раз в день в трех уровнях дозы (11, 14 или 17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В группу по подбору дозы ленватиниба в комбинации с ифосфамидом и этопозидом было включено в общей сложности 22 пациента, которые получали ленватиниб в двух уровнях дозы (11 или 14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Рекомендуемая доза (</w:t>
      </w:r>
      <w:r w:rsidR="00FA504A" w:rsidRPr="005A46FC">
        <w:rPr>
          <w:rFonts w:ascii="Times New Roman" w:hAnsi="Times New Roman"/>
          <w:sz w:val="24"/>
          <w:szCs w:val="24"/>
          <w:lang w:eastAsia="ru-RU"/>
        </w:rPr>
        <w:t>РД</w:t>
      </w:r>
      <w:r w:rsidRPr="005A46FC">
        <w:rPr>
          <w:rFonts w:ascii="Times New Roman" w:hAnsi="Times New Roman"/>
          <w:sz w:val="24"/>
          <w:szCs w:val="24"/>
          <w:lang w:eastAsia="ru-RU"/>
        </w:rPr>
        <w:t>) ленватиниба при монотерапии и в комбинации с ифосфамидом и этопозидом составляла 14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перорально один раз в день.</w:t>
      </w:r>
    </w:p>
    <w:p w14:paraId="1866F351" w14:textId="77777777" w:rsidR="00A870E4" w:rsidRPr="005A46FC" w:rsidRDefault="00EF7E63"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В когорте пациентов с рецидивирующим или рефрактерным ДКЩЖ, получавших монопрепарат ленватиниба, основным показателем эффективности была частота объективного ответа (ЧОО; полный ответ [</w:t>
      </w:r>
      <w:r w:rsidR="00FA504A" w:rsidRPr="005A46FC">
        <w:rPr>
          <w:rFonts w:ascii="Times New Roman" w:hAnsi="Times New Roman"/>
          <w:sz w:val="24"/>
          <w:szCs w:val="24"/>
          <w:lang w:eastAsia="ru-RU"/>
        </w:rPr>
        <w:t>ПО</w:t>
      </w:r>
      <w:r w:rsidRPr="005A46FC">
        <w:rPr>
          <w:rFonts w:ascii="Times New Roman" w:hAnsi="Times New Roman"/>
          <w:sz w:val="24"/>
          <w:szCs w:val="24"/>
          <w:lang w:eastAsia="ru-RU"/>
        </w:rPr>
        <w:t>] + частичный ответ [</w:t>
      </w:r>
      <w:r w:rsidR="00FA504A" w:rsidRPr="005A46FC">
        <w:rPr>
          <w:rFonts w:ascii="Times New Roman" w:hAnsi="Times New Roman"/>
          <w:sz w:val="24"/>
          <w:szCs w:val="24"/>
          <w:lang w:eastAsia="ru-RU"/>
        </w:rPr>
        <w:t>ЧО</w:t>
      </w:r>
      <w:r w:rsidRPr="005A46FC">
        <w:rPr>
          <w:rFonts w:ascii="Times New Roman" w:hAnsi="Times New Roman"/>
          <w:sz w:val="24"/>
          <w:szCs w:val="24"/>
          <w:lang w:eastAsia="ru-RU"/>
        </w:rPr>
        <w:t xml:space="preserve">]). Был включен один пациент, и этот пациент достиг </w:t>
      </w:r>
      <w:r w:rsidR="00FA504A" w:rsidRPr="005A46FC">
        <w:rPr>
          <w:rFonts w:ascii="Times New Roman" w:hAnsi="Times New Roman"/>
          <w:sz w:val="24"/>
          <w:szCs w:val="24"/>
          <w:lang w:eastAsia="ru-RU"/>
        </w:rPr>
        <w:t>частичного ответа</w:t>
      </w:r>
      <w:r w:rsidRPr="005A46FC">
        <w:rPr>
          <w:rFonts w:ascii="Times New Roman" w:hAnsi="Times New Roman"/>
          <w:sz w:val="24"/>
          <w:szCs w:val="24"/>
          <w:lang w:eastAsia="ru-RU"/>
        </w:rPr>
        <w:t>. Как в группе пациентов с рецидивирующей или рефрактерной остеосаркомой, принимавшей ленватиниб в виде монотерапии, так и в комбинации с ифосфамидом и этопозидом, основным показателем эффективности была выживаемость без прогрессирования через 4 месяца (ВБП-4); ВБП-4 по биномиальной оценке, включающей всех 31 пациента, получавших ленватиниб в качестве монотерапии, составила 29% (95%ДИ: 14,2, 48,0); ВБП-4 по биномиальной оценке у всех 20 пациентов, получавших ленватиниб в комбинации с ифосфамидом и этопозидом, составила 50% (95% ДИ: 27,2, 72,8).</w:t>
      </w:r>
    </w:p>
    <w:p w14:paraId="40911A01" w14:textId="77777777" w:rsidR="00F5231F" w:rsidRPr="005A46FC" w:rsidRDefault="00EF7E63"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Исследование 216 представляло собой многоцентровое открытое одногрупповое исследование фазы 1/2 для определения безопасности, переносимости и противоопухолевой активности ленватиниба, назначаемого в комбинации с эверолимусом у педиатрических пациентов (и молодых людей в возрасте до 21 года) с рецидивирующим заболеванием или рефрактерные солидные злокачественные новообразования, включая опухоли ЦНС. Всего было зарегистрировано и прошедших терапию 64 пациента. В фазу 1 (подбор комбинированной дозы) были включены и прошли терапию 23 пациента: 5 на уровне дозы – 1 (ленватиниб 8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и эверолимус 3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и 18 на уровне дозы 1 (ленватиниб 11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и эверолимус 3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Рекомендуемая доза (</w:t>
      </w:r>
      <w:r w:rsidR="00FA504A" w:rsidRPr="005A46FC">
        <w:rPr>
          <w:rFonts w:ascii="Times New Roman" w:hAnsi="Times New Roman"/>
          <w:sz w:val="24"/>
          <w:szCs w:val="24"/>
          <w:lang w:eastAsia="ru-RU"/>
        </w:rPr>
        <w:t>РД</w:t>
      </w:r>
      <w:r w:rsidRPr="005A46FC">
        <w:rPr>
          <w:rFonts w:ascii="Times New Roman" w:hAnsi="Times New Roman"/>
          <w:sz w:val="24"/>
          <w:szCs w:val="24"/>
          <w:lang w:eastAsia="ru-RU"/>
        </w:rPr>
        <w:t>) комбинации составляла ленватиниб 11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и эверолимус 3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принимаемые один раз в день. В фазе 2 (расширение комбинации) 41 пациент был включен и проходил лечение в отделении РД в следующих когортах: саркома Юинга (n = 10), </w:t>
      </w:r>
      <w:bookmarkStart w:id="6" w:name="_Hlk164843772"/>
      <w:r w:rsidRPr="005A46FC">
        <w:rPr>
          <w:rFonts w:ascii="Times New Roman" w:hAnsi="Times New Roman"/>
          <w:sz w:val="24"/>
          <w:szCs w:val="24"/>
          <w:lang w:eastAsia="ru-RU"/>
        </w:rPr>
        <w:t xml:space="preserve">рабдомиосаркома </w:t>
      </w:r>
      <w:bookmarkEnd w:id="6"/>
      <w:r w:rsidRPr="005A46FC">
        <w:rPr>
          <w:rFonts w:ascii="Times New Roman" w:hAnsi="Times New Roman"/>
          <w:sz w:val="24"/>
          <w:szCs w:val="24"/>
          <w:lang w:eastAsia="ru-RU"/>
        </w:rPr>
        <w:t xml:space="preserve">(n = 20) и </w:t>
      </w:r>
      <w:bookmarkStart w:id="7" w:name="_Hlk164843265"/>
      <w:r w:rsidRPr="005A46FC">
        <w:rPr>
          <w:rFonts w:ascii="Times New Roman" w:hAnsi="Times New Roman"/>
          <w:sz w:val="24"/>
          <w:szCs w:val="24"/>
          <w:lang w:eastAsia="ru-RU"/>
        </w:rPr>
        <w:t>глиома высокой степени злокачественности</w:t>
      </w:r>
      <w:bookmarkEnd w:id="7"/>
      <w:r w:rsidRPr="005A46FC">
        <w:rPr>
          <w:rFonts w:ascii="Times New Roman" w:hAnsi="Times New Roman"/>
          <w:sz w:val="24"/>
          <w:szCs w:val="24"/>
          <w:lang w:eastAsia="ru-RU"/>
        </w:rPr>
        <w:t xml:space="preserve"> (HGG, n =11). Первичным показателем эффективности была частота объективного ответа (ЧОО) на 16-й неделе у поддающихся оценке пациентов, </w:t>
      </w:r>
      <w:r w:rsidRPr="005A46FC">
        <w:rPr>
          <w:rFonts w:ascii="Times New Roman" w:hAnsi="Times New Roman"/>
          <w:sz w:val="24"/>
          <w:szCs w:val="24"/>
          <w:lang w:eastAsia="ru-RU"/>
        </w:rPr>
        <w:lastRenderedPageBreak/>
        <w:t xml:space="preserve">основанная на оценке исследователя с использованием RECIST v1.1 или RANO (для пациентов с </w:t>
      </w:r>
      <w:r w:rsidR="00FA504A" w:rsidRPr="005A46FC">
        <w:rPr>
          <w:rFonts w:ascii="Times New Roman" w:hAnsi="Times New Roman"/>
          <w:sz w:val="24"/>
          <w:szCs w:val="24"/>
          <w:lang w:eastAsia="ru-RU"/>
        </w:rPr>
        <w:t xml:space="preserve">глиомой </w:t>
      </w:r>
      <w:bookmarkStart w:id="8" w:name="_Hlk164843793"/>
      <w:r w:rsidR="00FA504A" w:rsidRPr="005A46FC">
        <w:rPr>
          <w:rFonts w:ascii="Times New Roman" w:hAnsi="Times New Roman"/>
          <w:sz w:val="24"/>
          <w:szCs w:val="24"/>
          <w:lang w:eastAsia="ru-RU"/>
        </w:rPr>
        <w:t>высокой степени злокачественности</w:t>
      </w:r>
      <w:bookmarkEnd w:id="8"/>
      <w:r w:rsidRPr="005A46FC">
        <w:rPr>
          <w:rFonts w:ascii="Times New Roman" w:hAnsi="Times New Roman"/>
          <w:sz w:val="24"/>
          <w:szCs w:val="24"/>
          <w:lang w:eastAsia="ru-RU"/>
        </w:rPr>
        <w:t xml:space="preserve">). В когортах </w:t>
      </w:r>
      <w:r w:rsidR="005026C5" w:rsidRPr="005A46FC">
        <w:rPr>
          <w:rFonts w:ascii="Times New Roman" w:hAnsi="Times New Roman"/>
          <w:sz w:val="24"/>
          <w:szCs w:val="24"/>
          <w:lang w:eastAsia="ru-RU"/>
        </w:rPr>
        <w:t>с саркомой Юинга</w:t>
      </w:r>
      <w:r w:rsidRPr="005A46FC">
        <w:rPr>
          <w:rFonts w:ascii="Times New Roman" w:hAnsi="Times New Roman"/>
          <w:sz w:val="24"/>
          <w:szCs w:val="24"/>
          <w:lang w:eastAsia="ru-RU"/>
        </w:rPr>
        <w:t xml:space="preserve"> и </w:t>
      </w:r>
      <w:r w:rsidR="005026C5" w:rsidRPr="005A46FC">
        <w:rPr>
          <w:rFonts w:ascii="Times New Roman" w:hAnsi="Times New Roman"/>
          <w:sz w:val="24"/>
          <w:szCs w:val="24"/>
          <w:lang w:eastAsia="ru-RU"/>
        </w:rPr>
        <w:t xml:space="preserve">с глиомой высокой степени злокачественности </w:t>
      </w:r>
      <w:r w:rsidRPr="005A46FC">
        <w:rPr>
          <w:rFonts w:ascii="Times New Roman" w:hAnsi="Times New Roman"/>
          <w:sz w:val="24"/>
          <w:szCs w:val="24"/>
          <w:lang w:eastAsia="ru-RU"/>
        </w:rPr>
        <w:t>не наблюдалось объективных ответов; В когорте</w:t>
      </w:r>
      <w:r w:rsidR="005026C5" w:rsidRPr="005A46FC">
        <w:rPr>
          <w:rFonts w:ascii="Times New Roman" w:hAnsi="Times New Roman"/>
          <w:sz w:val="24"/>
          <w:szCs w:val="24"/>
          <w:lang w:eastAsia="ru-RU"/>
        </w:rPr>
        <w:t xml:space="preserve"> с</w:t>
      </w:r>
      <w:r w:rsidRPr="005A46FC">
        <w:rPr>
          <w:rFonts w:ascii="Times New Roman" w:hAnsi="Times New Roman"/>
          <w:sz w:val="24"/>
          <w:szCs w:val="24"/>
          <w:lang w:eastAsia="ru-RU"/>
        </w:rPr>
        <w:t xml:space="preserve"> </w:t>
      </w:r>
      <w:r w:rsidR="005026C5" w:rsidRPr="005A46FC">
        <w:rPr>
          <w:rFonts w:ascii="Times New Roman" w:hAnsi="Times New Roman"/>
          <w:sz w:val="24"/>
          <w:szCs w:val="24"/>
          <w:lang w:eastAsia="ru-RU"/>
        </w:rPr>
        <w:t xml:space="preserve">рабдомиосаркомой </w:t>
      </w:r>
      <w:r w:rsidRPr="005A46FC">
        <w:rPr>
          <w:rFonts w:ascii="Times New Roman" w:hAnsi="Times New Roman"/>
          <w:sz w:val="24"/>
          <w:szCs w:val="24"/>
          <w:lang w:eastAsia="ru-RU"/>
        </w:rPr>
        <w:t>наблюдалось 2 частичных ответа (Ч</w:t>
      </w:r>
      <w:r w:rsidR="005026C5" w:rsidRPr="005A46FC">
        <w:rPr>
          <w:rFonts w:ascii="Times New Roman" w:hAnsi="Times New Roman"/>
          <w:sz w:val="24"/>
          <w:szCs w:val="24"/>
          <w:lang w:eastAsia="ru-RU"/>
        </w:rPr>
        <w:t>О</w:t>
      </w:r>
      <w:r w:rsidRPr="005A46FC">
        <w:rPr>
          <w:rFonts w:ascii="Times New Roman" w:hAnsi="Times New Roman"/>
          <w:sz w:val="24"/>
          <w:szCs w:val="24"/>
          <w:lang w:eastAsia="ru-RU"/>
        </w:rPr>
        <w:t>) для ЧОО на 16 неделе, равной 10% (95% ДИ: 1,2, 31,7).</w:t>
      </w:r>
    </w:p>
    <w:p w14:paraId="199F7F51" w14:textId="77777777" w:rsidR="00B577FD" w:rsidRPr="005A46FC" w:rsidRDefault="00B577FD" w:rsidP="00B577FD">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Исследование OLIE (Исследование 230) представляло собой открытое многоцентровое рандомизированное контролируемое исследование фазы 2 с участием пациентов (в возрасте от 2 до 25 лет) с рецидивирующей или рефрактерной остеосаркомой. В общей сложности 81 пациент был рандомизирован в соотношении 1:1 (78 получали лечение; 39 в каждой группе) на ленватиниб 14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в сочетании с ифосфамидом 3000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и этопозидом 100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(группа А) или ифосфамидом 3000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и этопозид 100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(группа B). Ифосфамид и этопозид вводились внутривенно с 1 по 3 дни каждого 21-дневного цикла в течение максимум 5 циклов. Лечение ленватинибом разрешалось до тех пор, пока прогрессирование заболевания не определялось согласно RECIST v1.1, что было подтверждено слепым независимым центральным обзором (BICR), или до неприемлемой токсичности. Первичным показателем эффективности была выживаемость без прогрессирования (ВБП) согласно RECIST 1.1 по версии BICR. Исследование не продемонстрировало статистически значимой разницы в медиане ВБП: 6,5 месяцев (95% ДИ: 5,7, 8,2) для ленватиниба в комбинации с ифосфамидом и этопозидом по сравнению с 5,5 месяца (95% ДИ: 2,9, 6,5) для ифосфамида и этопозида (ОР)=0,54 [95%</w:t>
      </w:r>
      <w:r w:rsidR="005026C5" w:rsidRPr="005A46FC">
        <w:rPr>
          <w:rFonts w:ascii="Times New Roman" w:hAnsi="Times New Roman"/>
          <w:sz w:val="24"/>
          <w:szCs w:val="24"/>
          <w:lang w:eastAsia="ru-RU"/>
        </w:rPr>
        <w:t xml:space="preserve"> </w:t>
      </w:r>
      <w:r w:rsidRPr="005A46FC">
        <w:rPr>
          <w:rFonts w:ascii="Times New Roman" w:hAnsi="Times New Roman"/>
          <w:sz w:val="24"/>
          <w:szCs w:val="24"/>
          <w:lang w:eastAsia="ru-RU"/>
        </w:rPr>
        <w:t>ДИ: 0,27, 1,08]).</w:t>
      </w:r>
    </w:p>
    <w:p w14:paraId="16E40FEF" w14:textId="77777777" w:rsidR="00EF7E63" w:rsidRPr="005A46FC" w:rsidRDefault="00B577FD" w:rsidP="00B577FD">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Исследование 231 представляет собой многоцентровое открытое исследование фазы 2 с целью оценки противоопухолевой активности и безопасности ленватиниба у детей, подростков и молодых людей в возрасте от 2 до ≤21 года с рецидивирующими или рефрактерными солидными злокачественными новообразованиями, включая </w:t>
      </w:r>
      <w:r w:rsidR="005026C5" w:rsidRPr="005A46FC">
        <w:rPr>
          <w:rFonts w:ascii="Times New Roman" w:hAnsi="Times New Roman"/>
          <w:sz w:val="24"/>
          <w:szCs w:val="24"/>
          <w:lang w:eastAsia="ru-RU"/>
        </w:rPr>
        <w:t>саркому Юинга</w:t>
      </w:r>
      <w:r w:rsidRPr="005A46FC">
        <w:rPr>
          <w:rFonts w:ascii="Times New Roman" w:hAnsi="Times New Roman"/>
          <w:sz w:val="24"/>
          <w:szCs w:val="24"/>
          <w:lang w:eastAsia="ru-RU"/>
        </w:rPr>
        <w:t xml:space="preserve">, </w:t>
      </w:r>
      <w:r w:rsidR="005026C5" w:rsidRPr="005A46FC">
        <w:rPr>
          <w:rFonts w:ascii="Times New Roman" w:hAnsi="Times New Roman"/>
          <w:sz w:val="24"/>
          <w:szCs w:val="24"/>
          <w:lang w:eastAsia="ru-RU"/>
        </w:rPr>
        <w:t>рабдомиосаркому</w:t>
      </w:r>
      <w:r w:rsidRPr="005A46FC">
        <w:rPr>
          <w:rFonts w:ascii="Times New Roman" w:hAnsi="Times New Roman"/>
          <w:sz w:val="24"/>
          <w:szCs w:val="24"/>
          <w:lang w:eastAsia="ru-RU"/>
        </w:rPr>
        <w:t xml:space="preserve"> и </w:t>
      </w:r>
      <w:r w:rsidR="005026C5" w:rsidRPr="005A46FC">
        <w:rPr>
          <w:rFonts w:ascii="Times New Roman" w:hAnsi="Times New Roman"/>
          <w:sz w:val="24"/>
          <w:szCs w:val="24"/>
          <w:lang w:eastAsia="ru-RU"/>
        </w:rPr>
        <w:t>глиому высокой степени злокачественности</w:t>
      </w:r>
      <w:r w:rsidRPr="005A46FC">
        <w:rPr>
          <w:rFonts w:ascii="Times New Roman" w:hAnsi="Times New Roman"/>
          <w:sz w:val="24"/>
          <w:szCs w:val="24"/>
          <w:lang w:eastAsia="ru-RU"/>
        </w:rPr>
        <w:t>. В общей сложности 127 пациентов были включены и получали лечение в РД ленватиниба (14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в следующих когортах: </w:t>
      </w:r>
      <w:r w:rsidR="005026C5" w:rsidRPr="005A46FC">
        <w:rPr>
          <w:rFonts w:ascii="Times New Roman" w:hAnsi="Times New Roman"/>
          <w:sz w:val="24"/>
          <w:szCs w:val="24"/>
          <w:lang w:eastAsia="ru-RU"/>
        </w:rPr>
        <w:t>саркома Юинга</w:t>
      </w:r>
      <w:r w:rsidRPr="005A46FC">
        <w:rPr>
          <w:rFonts w:ascii="Times New Roman" w:hAnsi="Times New Roman"/>
          <w:sz w:val="24"/>
          <w:szCs w:val="24"/>
          <w:lang w:eastAsia="ru-RU"/>
        </w:rPr>
        <w:t xml:space="preserve"> (n=9), </w:t>
      </w:r>
      <w:r w:rsidR="005026C5" w:rsidRPr="005A46FC">
        <w:rPr>
          <w:rFonts w:ascii="Times New Roman" w:hAnsi="Times New Roman"/>
          <w:sz w:val="24"/>
          <w:szCs w:val="24"/>
          <w:lang w:eastAsia="ru-RU"/>
        </w:rPr>
        <w:t xml:space="preserve">рабдомиосаркома </w:t>
      </w:r>
      <w:r w:rsidRPr="005A46FC">
        <w:rPr>
          <w:rFonts w:ascii="Times New Roman" w:hAnsi="Times New Roman"/>
          <w:sz w:val="24"/>
          <w:szCs w:val="24"/>
          <w:lang w:eastAsia="ru-RU"/>
        </w:rPr>
        <w:t xml:space="preserve">(n=17), </w:t>
      </w:r>
      <w:r w:rsidR="005026C5" w:rsidRPr="005A46FC">
        <w:rPr>
          <w:rFonts w:ascii="Times New Roman" w:hAnsi="Times New Roman"/>
          <w:sz w:val="24"/>
          <w:szCs w:val="24"/>
          <w:lang w:eastAsia="ru-RU"/>
        </w:rPr>
        <w:t>глиома высокой степени злокачественности</w:t>
      </w:r>
      <w:r w:rsidRPr="005A46FC">
        <w:rPr>
          <w:rFonts w:ascii="Times New Roman" w:hAnsi="Times New Roman"/>
          <w:sz w:val="24"/>
          <w:szCs w:val="24"/>
          <w:lang w:eastAsia="ru-RU"/>
        </w:rPr>
        <w:t xml:space="preserve"> (n=8) и другие солидные опухоли (n=9). n=9 для диффузной срединной глиомы, медуллобластомы и эпендимомы для всех остальных солидных опухолей, n=66); Первичным показателем эффективности была ЧОО на 16-й неделе у поддающихся оценке пациентов, основанная на оценке исследователя с использованием RECIST v1.1 или RANO (для пациентов с </w:t>
      </w:r>
      <w:r w:rsidR="005026C5" w:rsidRPr="005A46FC">
        <w:rPr>
          <w:rFonts w:ascii="Times New Roman" w:hAnsi="Times New Roman"/>
          <w:sz w:val="24"/>
          <w:szCs w:val="24"/>
          <w:lang w:eastAsia="ru-RU"/>
        </w:rPr>
        <w:t>глиомой высокой степени злокачественности</w:t>
      </w:r>
      <w:r w:rsidRPr="005A46FC">
        <w:rPr>
          <w:rFonts w:ascii="Times New Roman" w:hAnsi="Times New Roman"/>
          <w:sz w:val="24"/>
          <w:szCs w:val="24"/>
          <w:lang w:eastAsia="ru-RU"/>
        </w:rPr>
        <w:t xml:space="preserve">). У пациентов с </w:t>
      </w:r>
      <w:r w:rsidR="005026C5" w:rsidRPr="005A46FC">
        <w:rPr>
          <w:rFonts w:ascii="Times New Roman" w:hAnsi="Times New Roman"/>
          <w:sz w:val="24"/>
          <w:szCs w:val="24"/>
          <w:lang w:eastAsia="ru-RU"/>
        </w:rPr>
        <w:t>глиомой высокой степени злокачественности</w:t>
      </w:r>
      <w:r w:rsidRPr="005A46FC">
        <w:rPr>
          <w:rFonts w:ascii="Times New Roman" w:hAnsi="Times New Roman"/>
          <w:sz w:val="24"/>
          <w:szCs w:val="24"/>
          <w:lang w:eastAsia="ru-RU"/>
        </w:rPr>
        <w:t xml:space="preserve">, диффузной срединной глиомой, медуллобластомой или эпендимомой объективного ответа не наблюдалось. В когортах </w:t>
      </w:r>
      <w:r w:rsidR="00C25B7D" w:rsidRPr="005A46FC">
        <w:rPr>
          <w:rFonts w:ascii="Times New Roman" w:hAnsi="Times New Roman"/>
          <w:sz w:val="24"/>
          <w:szCs w:val="24"/>
          <w:lang w:eastAsia="ru-RU"/>
        </w:rPr>
        <w:t>саркомы Юинга</w:t>
      </w:r>
      <w:r w:rsidRPr="005A46FC">
        <w:rPr>
          <w:rFonts w:ascii="Times New Roman" w:hAnsi="Times New Roman"/>
          <w:sz w:val="24"/>
          <w:szCs w:val="24"/>
          <w:lang w:eastAsia="ru-RU"/>
        </w:rPr>
        <w:t xml:space="preserve"> и </w:t>
      </w:r>
      <w:r w:rsidR="00C25B7D" w:rsidRPr="005A46FC">
        <w:rPr>
          <w:rFonts w:ascii="Times New Roman" w:hAnsi="Times New Roman"/>
          <w:sz w:val="24"/>
          <w:szCs w:val="24"/>
          <w:lang w:eastAsia="ru-RU"/>
        </w:rPr>
        <w:t xml:space="preserve">рабдомиосаркомы </w:t>
      </w:r>
      <w:r w:rsidRPr="005A46FC">
        <w:rPr>
          <w:rFonts w:ascii="Times New Roman" w:hAnsi="Times New Roman"/>
          <w:sz w:val="24"/>
          <w:szCs w:val="24"/>
          <w:lang w:eastAsia="ru-RU"/>
        </w:rPr>
        <w:t xml:space="preserve">наблюдалось два </w:t>
      </w:r>
      <w:r w:rsidR="00C25B7D" w:rsidRPr="005A46FC">
        <w:rPr>
          <w:rFonts w:ascii="Times New Roman" w:hAnsi="Times New Roman"/>
          <w:sz w:val="24"/>
          <w:szCs w:val="24"/>
          <w:lang w:eastAsia="ru-RU"/>
        </w:rPr>
        <w:t>ЧО</w:t>
      </w:r>
      <w:r w:rsidRPr="005A46FC">
        <w:rPr>
          <w:rFonts w:ascii="Times New Roman" w:hAnsi="Times New Roman"/>
          <w:sz w:val="24"/>
          <w:szCs w:val="24"/>
          <w:lang w:eastAsia="ru-RU"/>
        </w:rPr>
        <w:t xml:space="preserve"> для ЧОО на 16 неделе 22,2% (95% ДИ: 2,8, 60,0) и 11,8% (95% ДИ: 1,5, 36,4) соответственно. Среди всех других солидных опухолей в течение ЧОО на 16 неделе составила 7,7% (95% ДИ: 2,5, 17,0).</w:t>
      </w:r>
    </w:p>
    <w:p w14:paraId="4643FE91" w14:textId="77777777" w:rsidR="00EF7E63" w:rsidRPr="005A46FC" w:rsidRDefault="00EF7E63" w:rsidP="00550514">
      <w:pPr>
        <w:autoSpaceDE w:val="0"/>
        <w:autoSpaceDN w:val="0"/>
        <w:adjustRightInd w:val="0"/>
        <w:spacing w:after="0" w:line="240" w:lineRule="auto"/>
        <w:jc w:val="both"/>
        <w:rPr>
          <w:rFonts w:ascii="Times New Roman" w:hAnsi="Times New Roman"/>
          <w:sz w:val="24"/>
          <w:szCs w:val="24"/>
          <w:lang w:eastAsia="ru-RU"/>
        </w:rPr>
      </w:pPr>
    </w:p>
    <w:p w14:paraId="3989EA1A" w14:textId="77777777" w:rsidR="00C153F2" w:rsidRPr="005A46FC"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 xml:space="preserve">5.2 </w:t>
      </w:r>
      <w:r w:rsidR="00DD5E3A" w:rsidRPr="005A46FC">
        <w:rPr>
          <w:rFonts w:ascii="Times New Roman" w:eastAsia="TimesNewRomanPSMT" w:hAnsi="Times New Roman"/>
          <w:b/>
          <w:sz w:val="24"/>
          <w:szCs w:val="24"/>
          <w:lang w:eastAsia="ru-RU"/>
        </w:rPr>
        <w:t>Фармакокинетические свойства</w:t>
      </w:r>
    </w:p>
    <w:p w14:paraId="7AE6B0B9" w14:textId="77777777" w:rsidR="00957BAF" w:rsidRPr="005A46FC" w:rsidRDefault="002E3DAD" w:rsidP="002E3DAD">
      <w:pPr>
        <w:autoSpaceDE w:val="0"/>
        <w:autoSpaceDN w:val="0"/>
        <w:adjustRightInd w:val="0"/>
        <w:spacing w:after="0" w:line="240" w:lineRule="auto"/>
        <w:jc w:val="both"/>
        <w:rPr>
          <w:rFonts w:ascii="Times New Roman" w:hAnsi="Times New Roman"/>
          <w:iCs/>
          <w:sz w:val="24"/>
          <w:szCs w:val="24"/>
          <w:lang w:bidi="ru-RU"/>
        </w:rPr>
      </w:pPr>
      <w:r w:rsidRPr="005A46FC">
        <w:rPr>
          <w:rFonts w:ascii="Times New Roman" w:hAnsi="Times New Roman"/>
          <w:iCs/>
          <w:sz w:val="24"/>
          <w:szCs w:val="24"/>
          <w:lang w:bidi="ru-RU"/>
        </w:rPr>
        <w:t>Фармакокинетические параметры ленватиниба изучались у здоровых взрослых пациентов, взрослых пациентов с печеночной недостаточностью, почечной недостаточностью и солидными опухолями.</w:t>
      </w:r>
    </w:p>
    <w:p w14:paraId="7F169BC5" w14:textId="77777777" w:rsidR="002E3DAD" w:rsidRPr="005A46FC" w:rsidRDefault="002E3DAD" w:rsidP="002E3DAD">
      <w:pPr>
        <w:autoSpaceDE w:val="0"/>
        <w:autoSpaceDN w:val="0"/>
        <w:adjustRightInd w:val="0"/>
        <w:spacing w:after="0" w:line="240" w:lineRule="auto"/>
        <w:jc w:val="both"/>
        <w:rPr>
          <w:rFonts w:ascii="Times New Roman" w:hAnsi="Times New Roman"/>
          <w:i/>
          <w:sz w:val="24"/>
          <w:szCs w:val="24"/>
          <w:lang w:bidi="ru-RU"/>
        </w:rPr>
      </w:pPr>
      <w:r w:rsidRPr="005A46FC">
        <w:rPr>
          <w:rFonts w:ascii="Times New Roman" w:hAnsi="Times New Roman"/>
          <w:i/>
          <w:sz w:val="24"/>
          <w:szCs w:val="24"/>
          <w:lang w:bidi="ru-RU"/>
        </w:rPr>
        <w:t>Абсорбция</w:t>
      </w:r>
    </w:p>
    <w:p w14:paraId="2162CA6E" w14:textId="77777777" w:rsidR="002E3DAD" w:rsidRPr="005A46FC" w:rsidRDefault="002E3DAD" w:rsidP="002E3DAD">
      <w:pPr>
        <w:autoSpaceDE w:val="0"/>
        <w:autoSpaceDN w:val="0"/>
        <w:adjustRightInd w:val="0"/>
        <w:spacing w:after="0" w:line="240" w:lineRule="auto"/>
        <w:jc w:val="both"/>
        <w:rPr>
          <w:rFonts w:ascii="Times New Roman" w:hAnsi="Times New Roman"/>
          <w:iCs/>
          <w:sz w:val="24"/>
          <w:szCs w:val="24"/>
          <w:lang w:bidi="ru-RU"/>
        </w:rPr>
      </w:pPr>
      <w:r w:rsidRPr="005A46FC">
        <w:rPr>
          <w:rFonts w:ascii="Times New Roman" w:hAnsi="Times New Roman"/>
          <w:iCs/>
          <w:sz w:val="24"/>
          <w:szCs w:val="24"/>
          <w:lang w:bidi="ru-RU"/>
        </w:rPr>
        <w:t>Ленватиниб стремительно всасывается после перорального приема, при этом t</w:t>
      </w:r>
      <w:r w:rsidRPr="005A46FC">
        <w:rPr>
          <w:rFonts w:ascii="Times New Roman" w:hAnsi="Times New Roman"/>
          <w:iCs/>
          <w:sz w:val="24"/>
          <w:szCs w:val="24"/>
          <w:vertAlign w:val="subscript"/>
          <w:lang w:bidi="ru-RU"/>
        </w:rPr>
        <w:t xml:space="preserve">max </w:t>
      </w:r>
      <w:r w:rsidRPr="005A46FC">
        <w:rPr>
          <w:rFonts w:ascii="Times New Roman" w:hAnsi="Times New Roman"/>
          <w:iCs/>
          <w:sz w:val="24"/>
          <w:szCs w:val="24"/>
          <w:lang w:bidi="ru-RU"/>
        </w:rPr>
        <w:t xml:space="preserve">обычно наблюдается от 1 до 4 часов после приема. Пища не влияет на степень всасывания, но замедляет </w:t>
      </w:r>
      <w:r w:rsidR="00C25B7D" w:rsidRPr="005A46FC">
        <w:rPr>
          <w:rFonts w:ascii="Times New Roman" w:hAnsi="Times New Roman"/>
          <w:iCs/>
          <w:sz w:val="24"/>
          <w:szCs w:val="24"/>
          <w:lang w:bidi="ru-RU"/>
        </w:rPr>
        <w:t xml:space="preserve">ее </w:t>
      </w:r>
      <w:r w:rsidRPr="005A46FC">
        <w:rPr>
          <w:rFonts w:ascii="Times New Roman" w:hAnsi="Times New Roman"/>
          <w:iCs/>
          <w:sz w:val="24"/>
          <w:szCs w:val="24"/>
          <w:lang w:bidi="ru-RU"/>
        </w:rPr>
        <w:t>скорость. При приеме с пищей здоровыми субъектами пиковые концентрации в плазме задерживались на 2 часа. Абсолютная биодоступность у людей не определялась; однако данные исследования баланса массы показывают, что он составляет порядка 85%. Ленватиниб продемонстрировал оптимальную биодоступность при пероральном приеме у собак (70,4%) и обезьян (78,4%).</w:t>
      </w:r>
    </w:p>
    <w:p w14:paraId="65FCAD28" w14:textId="77777777" w:rsidR="002E3DAD" w:rsidRPr="005A46FC" w:rsidRDefault="002E3DAD" w:rsidP="002E3DAD">
      <w:pPr>
        <w:autoSpaceDE w:val="0"/>
        <w:autoSpaceDN w:val="0"/>
        <w:adjustRightInd w:val="0"/>
        <w:spacing w:after="0" w:line="240" w:lineRule="auto"/>
        <w:jc w:val="both"/>
        <w:rPr>
          <w:rFonts w:ascii="Times New Roman" w:hAnsi="Times New Roman"/>
          <w:i/>
          <w:sz w:val="24"/>
          <w:szCs w:val="24"/>
          <w:lang w:bidi="ru-RU"/>
        </w:rPr>
      </w:pPr>
      <w:r w:rsidRPr="005A46FC">
        <w:rPr>
          <w:rFonts w:ascii="Times New Roman" w:hAnsi="Times New Roman"/>
          <w:i/>
          <w:sz w:val="24"/>
          <w:szCs w:val="24"/>
          <w:lang w:bidi="ru-RU"/>
        </w:rPr>
        <w:lastRenderedPageBreak/>
        <w:t>Распределение</w:t>
      </w:r>
    </w:p>
    <w:p w14:paraId="298BD783" w14:textId="77777777" w:rsidR="002E3DAD" w:rsidRPr="005A46FC" w:rsidRDefault="002E3DAD" w:rsidP="002E3DAD">
      <w:pPr>
        <w:autoSpaceDE w:val="0"/>
        <w:autoSpaceDN w:val="0"/>
        <w:adjustRightInd w:val="0"/>
        <w:spacing w:after="0" w:line="240" w:lineRule="auto"/>
        <w:jc w:val="both"/>
        <w:rPr>
          <w:rFonts w:ascii="Times New Roman" w:hAnsi="Times New Roman"/>
          <w:iCs/>
          <w:sz w:val="24"/>
          <w:szCs w:val="24"/>
          <w:lang w:bidi="ru-RU"/>
        </w:rPr>
      </w:pPr>
      <w:r w:rsidRPr="005A46FC">
        <w:rPr>
          <w:rFonts w:ascii="Times New Roman" w:hAnsi="Times New Roman"/>
          <w:i/>
          <w:sz w:val="24"/>
          <w:szCs w:val="24"/>
          <w:lang w:bidi="ru-RU"/>
        </w:rPr>
        <w:t>In vitro</w:t>
      </w:r>
      <w:r w:rsidRPr="005A46FC">
        <w:rPr>
          <w:rFonts w:ascii="Times New Roman" w:hAnsi="Times New Roman"/>
          <w:iCs/>
          <w:sz w:val="24"/>
          <w:szCs w:val="24"/>
          <w:lang w:bidi="ru-RU"/>
        </w:rPr>
        <w:t xml:space="preserve"> связывание ленватиниба прочно связывается с белками плазмы человека и колеблется от 98% до 99% (0,3–30 мкг/мл, мезилат). Это связывание было в основном с альбумином с небольшим связыванием с α1-кислым гликопротеином и γ-глобулином.</w:t>
      </w:r>
    </w:p>
    <w:p w14:paraId="74D7795B" w14:textId="77777777" w:rsidR="002E3DAD" w:rsidRPr="005A46FC" w:rsidRDefault="002E3DAD" w:rsidP="002E3DAD">
      <w:pPr>
        <w:autoSpaceDE w:val="0"/>
        <w:autoSpaceDN w:val="0"/>
        <w:adjustRightInd w:val="0"/>
        <w:spacing w:after="0" w:line="240" w:lineRule="auto"/>
        <w:jc w:val="both"/>
        <w:rPr>
          <w:rFonts w:ascii="Times New Roman" w:hAnsi="Times New Roman"/>
          <w:iCs/>
          <w:sz w:val="24"/>
          <w:szCs w:val="24"/>
          <w:lang w:bidi="ru-RU"/>
        </w:rPr>
      </w:pPr>
      <w:r w:rsidRPr="005A46FC">
        <w:rPr>
          <w:rFonts w:ascii="Times New Roman" w:hAnsi="Times New Roman"/>
          <w:i/>
          <w:sz w:val="24"/>
          <w:szCs w:val="24"/>
          <w:lang w:bidi="ru-RU"/>
        </w:rPr>
        <w:t>In vitro</w:t>
      </w:r>
      <w:r w:rsidRPr="005A46FC">
        <w:rPr>
          <w:rFonts w:ascii="Times New Roman" w:hAnsi="Times New Roman"/>
          <w:iCs/>
          <w:sz w:val="24"/>
          <w:szCs w:val="24"/>
          <w:lang w:bidi="ru-RU"/>
        </w:rPr>
        <w:t xml:space="preserve"> отношение концентраций ленватиниба в крови к плазме варьировалось от 0,589 до 0,608 (0,1–10 мкг/мл, мезилат).</w:t>
      </w:r>
    </w:p>
    <w:p w14:paraId="09577DD1" w14:textId="77777777" w:rsidR="002E3DAD" w:rsidRPr="005A46FC" w:rsidRDefault="002E3DAD" w:rsidP="002E3DA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Ленватиниб является субстратом P-gp и BCRP (белка устойчивости рака молочной железы). Ленватиниб не является субстратом для OAT1, OAT3, OATP1B1, OATP1B3, OCT1, OCT2, MATE1, MATE2-K или помпы экспорта солей желчных кислот BSEP.</w:t>
      </w:r>
    </w:p>
    <w:p w14:paraId="7C8261CF" w14:textId="77777777" w:rsidR="002E3DAD" w:rsidRPr="005A46FC" w:rsidRDefault="002E3DAD" w:rsidP="002E3DA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У пациентов средний кажущийся объем распределения (Vz/F) первой дозы колебался от 50,5 л до 92 л и в целом был одинаковым в группах доз от 3,2 мг до 32 мг. Аналогичный средний кажущийся объем распределения в стационарном состоянии (Vz/Fss) также был в целом постоянным и колебался от 43,2 л до 121 л.</w:t>
      </w:r>
    </w:p>
    <w:p w14:paraId="30EF4CD1" w14:textId="77777777" w:rsidR="002E3DAD" w:rsidRPr="005A46FC" w:rsidRDefault="002E3DAD" w:rsidP="002E3DAD">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Биотрансформация</w:t>
      </w:r>
    </w:p>
    <w:p w14:paraId="6762C943" w14:textId="77777777" w:rsidR="002E3DAD" w:rsidRPr="005A46FC" w:rsidRDefault="002E3DAD" w:rsidP="002E3DA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
          <w:sz w:val="24"/>
          <w:szCs w:val="24"/>
          <w:lang w:eastAsia="ru-RU"/>
        </w:rPr>
        <w:t>In vitro</w:t>
      </w:r>
      <w:r w:rsidRPr="005A46FC">
        <w:rPr>
          <w:rFonts w:ascii="Times New Roman" w:hAnsi="Times New Roman"/>
          <w:bCs/>
          <w:iCs/>
          <w:sz w:val="24"/>
          <w:szCs w:val="24"/>
          <w:lang w:eastAsia="ru-RU"/>
        </w:rPr>
        <w:t xml:space="preserve"> было продемонстрировано, что цитохром Р450 3А4 является преобладающей (&gt;80%) изоформой, участвующей в Р450-опосредованном метаболизме ленватиниба. Однако данные </w:t>
      </w:r>
      <w:r w:rsidRPr="005A46FC">
        <w:rPr>
          <w:rFonts w:ascii="Times New Roman" w:hAnsi="Times New Roman"/>
          <w:bCs/>
          <w:i/>
          <w:sz w:val="24"/>
          <w:szCs w:val="24"/>
          <w:lang w:eastAsia="ru-RU"/>
        </w:rPr>
        <w:t>in vivo</w:t>
      </w:r>
      <w:r w:rsidRPr="005A46FC">
        <w:rPr>
          <w:rFonts w:ascii="Times New Roman" w:hAnsi="Times New Roman"/>
          <w:bCs/>
          <w:iCs/>
          <w:sz w:val="24"/>
          <w:szCs w:val="24"/>
          <w:lang w:eastAsia="ru-RU"/>
        </w:rPr>
        <w:t xml:space="preserve"> показали, что P450-неопосредованные пути вносят значительный вклад в общий метаболизм ленватиниба. Следовательно, </w:t>
      </w:r>
      <w:r w:rsidRPr="005A46FC">
        <w:rPr>
          <w:rFonts w:ascii="Times New Roman" w:hAnsi="Times New Roman"/>
          <w:bCs/>
          <w:i/>
          <w:sz w:val="24"/>
          <w:szCs w:val="24"/>
          <w:lang w:eastAsia="ru-RU"/>
        </w:rPr>
        <w:t>in vivo</w:t>
      </w:r>
      <w:r w:rsidRPr="005A46FC">
        <w:rPr>
          <w:rFonts w:ascii="Times New Roman" w:hAnsi="Times New Roman"/>
          <w:bCs/>
          <w:iCs/>
          <w:sz w:val="24"/>
          <w:szCs w:val="24"/>
          <w:lang w:eastAsia="ru-RU"/>
        </w:rPr>
        <w:t xml:space="preserve"> индукторы и ингибиторы CYP 3A4 оказывали минимальное влияние на экспозицию ленватиниба (см. раздел 4.5).</w:t>
      </w:r>
    </w:p>
    <w:p w14:paraId="53CFF94A" w14:textId="77777777" w:rsidR="002E3DAD" w:rsidRPr="005A46FC" w:rsidRDefault="002E3DAD" w:rsidP="002E3DA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В микросомах печени человека в качестве основного метаболита была идентифицирована деметилированная форма ленватиниба (М2). M2’ и M3’, основные метаболиты в фекалиях человека, образуются из M2 и ленватиниба, соответственно, под действием альдегидоксидазы.</w:t>
      </w:r>
    </w:p>
    <w:p w14:paraId="6C9B5F93" w14:textId="77777777" w:rsidR="002E3DAD" w:rsidRPr="005A46FC" w:rsidRDefault="002E3DAD" w:rsidP="002E3DA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В образцах плазмы, собранных в течение 24 часов после введения, ленватиниб составлял 97% радиоактивности на радиохроматограммах плазмы, в то время как метаболит М2 составлял дополнительные 2,5%. На основании AUC</w:t>
      </w:r>
      <w:r w:rsidRPr="005A46FC">
        <w:rPr>
          <w:rFonts w:ascii="Times New Roman" w:hAnsi="Times New Roman"/>
          <w:bCs/>
          <w:iCs/>
          <w:sz w:val="24"/>
          <w:szCs w:val="24"/>
          <w:vertAlign w:val="subscript"/>
          <w:lang w:eastAsia="ru-RU"/>
        </w:rPr>
        <w:t>(0-inf)</w:t>
      </w:r>
      <w:r w:rsidRPr="005A46FC">
        <w:rPr>
          <w:rFonts w:ascii="Times New Roman" w:hAnsi="Times New Roman"/>
          <w:bCs/>
          <w:iCs/>
          <w:sz w:val="24"/>
          <w:szCs w:val="24"/>
          <w:lang w:eastAsia="ru-RU"/>
        </w:rPr>
        <w:t xml:space="preserve"> на долю ленватиниба приходилось 60% и 64% общей радиоактивности в плазме и крови соответственно.</w:t>
      </w:r>
    </w:p>
    <w:p w14:paraId="1FAE867C" w14:textId="77777777" w:rsidR="002E3DAD" w:rsidRPr="005A46FC" w:rsidRDefault="002E3DAD" w:rsidP="002E3DA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 xml:space="preserve">Данные исследования баланса массы/выделения у человека показывают, что ленватиниб активно метаболизируется в организме человека. Основные метаболические пути у человека были идентифицированы как окисление альдегидоксидазой, деметилирование через CYP3A4, конъюгирование глутатиона с отщеплением О-арильной группы (хлорфенильный фрагмент) и комбинации этих путей с последующими биотрансформациями (например, глюкуронирование, гидролиз глутатионовый фрагмент, деградация цистеинового фрагмента и внутримолекулярная перегруппировка конъюгатов цистеинилглицина и цистеина с последующей димеризацией). Эти метаболические пути </w:t>
      </w:r>
      <w:r w:rsidRPr="005A46FC">
        <w:rPr>
          <w:rFonts w:ascii="Times New Roman" w:hAnsi="Times New Roman"/>
          <w:bCs/>
          <w:i/>
          <w:sz w:val="24"/>
          <w:szCs w:val="24"/>
          <w:lang w:eastAsia="ru-RU"/>
        </w:rPr>
        <w:t>in vivo</w:t>
      </w:r>
      <w:r w:rsidRPr="005A46FC">
        <w:rPr>
          <w:rFonts w:ascii="Times New Roman" w:hAnsi="Times New Roman"/>
          <w:bCs/>
          <w:iCs/>
          <w:sz w:val="24"/>
          <w:szCs w:val="24"/>
          <w:lang w:eastAsia="ru-RU"/>
        </w:rPr>
        <w:t xml:space="preserve"> согласуются с данными, полученными в исследованиях </w:t>
      </w:r>
      <w:r w:rsidRPr="005A46FC">
        <w:rPr>
          <w:rFonts w:ascii="Times New Roman" w:hAnsi="Times New Roman"/>
          <w:bCs/>
          <w:i/>
          <w:sz w:val="24"/>
          <w:szCs w:val="24"/>
          <w:lang w:eastAsia="ru-RU"/>
        </w:rPr>
        <w:t>in vitro</w:t>
      </w:r>
      <w:r w:rsidRPr="005A46FC">
        <w:rPr>
          <w:rFonts w:ascii="Times New Roman" w:hAnsi="Times New Roman"/>
          <w:bCs/>
          <w:iCs/>
          <w:sz w:val="24"/>
          <w:szCs w:val="24"/>
          <w:lang w:eastAsia="ru-RU"/>
        </w:rPr>
        <w:t xml:space="preserve"> с использованием биоматериалов человека.</w:t>
      </w:r>
    </w:p>
    <w:p w14:paraId="056A1519" w14:textId="77777777" w:rsidR="004F2291" w:rsidRPr="005A46FC" w:rsidRDefault="004F2291" w:rsidP="004F2291">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Исследования транспортеров in vitro</w:t>
      </w:r>
    </w:p>
    <w:p w14:paraId="51B80F96" w14:textId="77777777" w:rsidR="004F2291" w:rsidRPr="005A46FC" w:rsidRDefault="004F2291" w:rsidP="004F2291">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Для следующих транспортеров, OAT1, OAT3, OATP1B1, OCT1, OCT2 и BSEP, клинически значимое ингибирование было исключено на основании порогового значения IC</w:t>
      </w:r>
      <w:r w:rsidRPr="005A46FC">
        <w:rPr>
          <w:rFonts w:ascii="Times New Roman" w:hAnsi="Times New Roman"/>
          <w:bCs/>
          <w:iCs/>
          <w:sz w:val="24"/>
          <w:szCs w:val="24"/>
          <w:vertAlign w:val="subscript"/>
          <w:lang w:eastAsia="ru-RU"/>
        </w:rPr>
        <w:t>50</w:t>
      </w:r>
      <w:r w:rsidRPr="005A46FC">
        <w:rPr>
          <w:rFonts w:ascii="Times New Roman" w:hAnsi="Times New Roman"/>
          <w:bCs/>
          <w:iCs/>
          <w:sz w:val="24"/>
          <w:szCs w:val="24"/>
          <w:lang w:eastAsia="ru-RU"/>
        </w:rPr>
        <w:t xml:space="preserve"> &gt; 50 × C</w:t>
      </w:r>
      <w:r w:rsidRPr="005A46FC">
        <w:rPr>
          <w:rFonts w:ascii="Times New Roman" w:hAnsi="Times New Roman"/>
          <w:bCs/>
          <w:iCs/>
          <w:sz w:val="24"/>
          <w:szCs w:val="24"/>
          <w:vertAlign w:val="subscript"/>
          <w:lang w:eastAsia="ru-RU"/>
        </w:rPr>
        <w:t>max</w:t>
      </w:r>
      <w:r w:rsidRPr="005A46FC">
        <w:rPr>
          <w:rFonts w:ascii="Times New Roman" w:hAnsi="Times New Roman"/>
          <w:bCs/>
          <w:iCs/>
          <w:sz w:val="24"/>
          <w:szCs w:val="24"/>
          <w:lang w:eastAsia="ru-RU"/>
        </w:rPr>
        <w:t xml:space="preserve"> </w:t>
      </w:r>
      <w:r w:rsidRPr="005A46FC">
        <w:rPr>
          <w:rFonts w:ascii="Times New Roman" w:hAnsi="Times New Roman"/>
          <w:bCs/>
          <w:iCs/>
          <w:sz w:val="24"/>
          <w:szCs w:val="24"/>
          <w:vertAlign w:val="subscript"/>
          <w:lang w:eastAsia="ru-RU"/>
        </w:rPr>
        <w:t>в несвязанном состоянии.</w:t>
      </w:r>
    </w:p>
    <w:p w14:paraId="1D3ACD7A" w14:textId="77777777" w:rsidR="004F2291" w:rsidRPr="005A46FC" w:rsidRDefault="004F2291" w:rsidP="004F2291">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Ленватиниб продемонстрировал минимальную ингибирующую активность или отсутствие ингибирующей активности в отношении транспортной активности, опосредованной P-gp и белком устойчивости к раку молочной железы (BCRP). Точно так же не наблюдалось индукции экспрессии мРНК P-gp.</w:t>
      </w:r>
    </w:p>
    <w:p w14:paraId="73E98EF1" w14:textId="77777777" w:rsidR="002E3DAD" w:rsidRPr="005A46FC" w:rsidRDefault="004F2291" w:rsidP="004F2291">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Ленватиниб показал минимальное ингибирующее действие на OATP1B3 и MATE2-K или отсутствовал вовсе. Ленватиниб слабо ингибирует MATE1. В цитозоле печени человека ленватиниб не ингибировал активность альдегидоксидазы.</w:t>
      </w:r>
    </w:p>
    <w:p w14:paraId="621DBAA5" w14:textId="77777777" w:rsidR="00004ADE" w:rsidRPr="005A46FC" w:rsidRDefault="00004ADE" w:rsidP="00004ADE">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Элиминация</w:t>
      </w:r>
    </w:p>
    <w:p w14:paraId="298E38F7" w14:textId="77777777" w:rsidR="00004ADE"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lastRenderedPageBreak/>
        <w:t>Плазменные концентрации снижаются биэкспоненциально после C</w:t>
      </w:r>
      <w:r w:rsidRPr="005A46FC">
        <w:rPr>
          <w:rFonts w:ascii="Times New Roman" w:hAnsi="Times New Roman"/>
          <w:bCs/>
          <w:iCs/>
          <w:sz w:val="24"/>
          <w:szCs w:val="24"/>
          <w:vertAlign w:val="subscript"/>
          <w:lang w:eastAsia="ru-RU"/>
        </w:rPr>
        <w:t>max</w:t>
      </w:r>
      <w:r w:rsidRPr="005A46FC">
        <w:rPr>
          <w:rFonts w:ascii="Times New Roman" w:hAnsi="Times New Roman"/>
          <w:bCs/>
          <w:iCs/>
          <w:sz w:val="24"/>
          <w:szCs w:val="24"/>
          <w:lang w:eastAsia="ru-RU"/>
        </w:rPr>
        <w:t>. Средний конечный экспоненциальный период полувыведения ленватиниба составляет примерно 28 часов.</w:t>
      </w:r>
    </w:p>
    <w:p w14:paraId="502C1A38" w14:textId="77777777" w:rsidR="004F2291"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После введения меченного радиоактивным изотопом ленватиниба 6 пациентам с солидными опухолями приблизительно две трети и одна четверть радиоактивной метки выводились с фекалиями и мочой соответственно. Метаболит M3 был преобладающим аналитом в экскрементах (~ 17% дозы), за ним следовали M2' (~ 11% дозы) и M2 (~ 4,4% дозы).</w:t>
      </w:r>
    </w:p>
    <w:p w14:paraId="46F6C2EA" w14:textId="77777777" w:rsidR="00004ADE" w:rsidRPr="005A46FC" w:rsidRDefault="00004ADE" w:rsidP="00004ADE">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Линейность/нелинейность</w:t>
      </w:r>
    </w:p>
    <w:p w14:paraId="03A06C6B" w14:textId="77777777" w:rsidR="00004ADE" w:rsidRPr="005A46FC" w:rsidRDefault="00004ADE" w:rsidP="00004ADE">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Пропорциональность дозы и накопление</w:t>
      </w:r>
    </w:p>
    <w:p w14:paraId="3C6BFD71" w14:textId="77777777" w:rsidR="00004ADE"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У пациентов с солидными опухолями, получавших однократную или многократную дозу ленватиниба один раз в сутки, экспозиция ленватиниба (C</w:t>
      </w:r>
      <w:r w:rsidRPr="005A46FC">
        <w:rPr>
          <w:rFonts w:ascii="Times New Roman" w:hAnsi="Times New Roman"/>
          <w:bCs/>
          <w:iCs/>
          <w:sz w:val="24"/>
          <w:szCs w:val="24"/>
          <w:vertAlign w:val="subscript"/>
          <w:lang w:eastAsia="ru-RU"/>
        </w:rPr>
        <w:t>max</w:t>
      </w:r>
      <w:r w:rsidRPr="005A46FC">
        <w:rPr>
          <w:rFonts w:ascii="Times New Roman" w:hAnsi="Times New Roman"/>
          <w:bCs/>
          <w:iCs/>
          <w:sz w:val="24"/>
          <w:szCs w:val="24"/>
          <w:lang w:eastAsia="ru-RU"/>
        </w:rPr>
        <w:t xml:space="preserve"> и AUC) увеличивалась прямо пропорционально введенной дозе в диапазоне от 3,2 до 32 мг один раз в сутки.</w:t>
      </w:r>
    </w:p>
    <w:p w14:paraId="15E6B736" w14:textId="77777777" w:rsidR="00004ADE"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Ленватиниб демонстрирует минимальную кумуляцию в равновесном состоянии. В этом диапазоне средний индекс накопления (Rac) колебался от 0,96 (20 мг) до 1,54 (6,4 мг). Rac у пациентов с ГЦР с легким и умеренным нарушением функции печени был аналогичен таковому для других солидных опухолей.</w:t>
      </w:r>
    </w:p>
    <w:p w14:paraId="4F0F6051" w14:textId="77777777" w:rsidR="00004ADE" w:rsidRPr="005A46FC" w:rsidRDefault="00004ADE" w:rsidP="00004ADE">
      <w:pPr>
        <w:autoSpaceDE w:val="0"/>
        <w:autoSpaceDN w:val="0"/>
        <w:adjustRightInd w:val="0"/>
        <w:spacing w:after="0" w:line="240" w:lineRule="auto"/>
        <w:jc w:val="both"/>
        <w:rPr>
          <w:rFonts w:ascii="Times New Roman" w:hAnsi="Times New Roman"/>
          <w:bCs/>
          <w:i/>
          <w:sz w:val="24"/>
          <w:szCs w:val="24"/>
          <w:u w:val="single"/>
          <w:lang w:eastAsia="ru-RU"/>
        </w:rPr>
      </w:pPr>
      <w:r w:rsidRPr="005A46FC">
        <w:rPr>
          <w:rFonts w:ascii="Times New Roman" w:hAnsi="Times New Roman"/>
          <w:bCs/>
          <w:i/>
          <w:sz w:val="24"/>
          <w:szCs w:val="24"/>
          <w:u w:val="single"/>
          <w:lang w:eastAsia="ru-RU"/>
        </w:rPr>
        <w:t>Особые группы населения</w:t>
      </w:r>
    </w:p>
    <w:p w14:paraId="1BEEEB21" w14:textId="77777777" w:rsidR="00004ADE" w:rsidRPr="005A46FC" w:rsidRDefault="00004ADE" w:rsidP="00004ADE">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Печеночная недостаточность</w:t>
      </w:r>
    </w:p>
    <w:p w14:paraId="37BF1373" w14:textId="77777777" w:rsidR="00004ADE"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Фармакокинетика ленватиниба после однократного приема 10 мг оценивалась у 6 пациентов с нарушением функции печени легкой и средней степени тяжести (классы А по Чайлд-Пью и В по Чайлд-Пью соответственно). Доза 5 мг оценивалась у 6 пациентов с тяжелой печеночной недостаточностью (C по Чайлд-Пью).</w:t>
      </w:r>
      <w:r w:rsidR="00C25B7D" w:rsidRPr="005A46FC">
        <w:rPr>
          <w:rFonts w:ascii="Times New Roman" w:hAnsi="Times New Roman"/>
          <w:bCs/>
          <w:iCs/>
          <w:sz w:val="24"/>
          <w:szCs w:val="24"/>
          <w:lang w:eastAsia="ru-RU"/>
        </w:rPr>
        <w:t xml:space="preserve"> </w:t>
      </w:r>
      <w:r w:rsidRPr="005A46FC">
        <w:rPr>
          <w:rFonts w:ascii="Times New Roman" w:hAnsi="Times New Roman"/>
          <w:bCs/>
          <w:iCs/>
          <w:sz w:val="24"/>
          <w:szCs w:val="24"/>
          <w:lang w:eastAsia="ru-RU"/>
        </w:rPr>
        <w:t>Восемь здоровых демографически подходящих субъектов служили контролем и получали дозу 10 мг. Экспозиция ленватиниба, основанная на данных AUC</w:t>
      </w:r>
      <w:r w:rsidRPr="005A46FC">
        <w:rPr>
          <w:rFonts w:ascii="Times New Roman" w:hAnsi="Times New Roman"/>
          <w:bCs/>
          <w:iCs/>
          <w:sz w:val="24"/>
          <w:szCs w:val="24"/>
          <w:vertAlign w:val="subscript"/>
          <w:lang w:eastAsia="ru-RU"/>
        </w:rPr>
        <w:t xml:space="preserve">0-t </w:t>
      </w:r>
      <w:r w:rsidRPr="005A46FC">
        <w:rPr>
          <w:rFonts w:ascii="Times New Roman" w:hAnsi="Times New Roman"/>
          <w:bCs/>
          <w:iCs/>
          <w:sz w:val="24"/>
          <w:szCs w:val="24"/>
          <w:lang w:eastAsia="ru-RU"/>
        </w:rPr>
        <w:t>и AUC</w:t>
      </w:r>
      <w:r w:rsidRPr="005A46FC">
        <w:rPr>
          <w:rFonts w:ascii="Times New Roman" w:hAnsi="Times New Roman"/>
          <w:bCs/>
          <w:iCs/>
          <w:sz w:val="24"/>
          <w:szCs w:val="24"/>
          <w:vertAlign w:val="subscript"/>
          <w:lang w:eastAsia="ru-RU"/>
        </w:rPr>
        <w:t xml:space="preserve">0-inf  </w:t>
      </w:r>
      <w:r w:rsidRPr="005A46FC">
        <w:rPr>
          <w:rFonts w:ascii="Times New Roman" w:hAnsi="Times New Roman"/>
          <w:bCs/>
          <w:iCs/>
          <w:sz w:val="24"/>
          <w:szCs w:val="24"/>
          <w:lang w:eastAsia="ru-RU"/>
        </w:rPr>
        <w:t>с поправкой на дозу, составляла 119%, 107% и 180% от нормы для пациентов с легкой, умеренной и тяжелой печеночной недостаточностью соответственно. Было установлено, что связывание белков плазмы в плазме пациентов с нарушением функции печени было таким же, как и у соответствующих здоровых субъектов, и не наблюдалось никакой зависимости от концентрации. См. раздел 4.2 для рекомендаций по дозировке.</w:t>
      </w:r>
    </w:p>
    <w:p w14:paraId="385A010A" w14:textId="77777777" w:rsidR="00004ADE"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Недостаточно данных для пациентов с ГЦР с классом B по Чайлд-Пью (умеренная печеночная недостаточность, 3 пациента получали ленватиниб в базовом исследовании) и данных для пациентов с ГЦР по Чайлд-Пью C (тяжелая печеночная недостаточность). Ленватиниб в основном выводится через печень, и у этих пациентов экспозиция может быть увеличена.</w:t>
      </w:r>
    </w:p>
    <w:p w14:paraId="6FE6A370" w14:textId="77777777" w:rsidR="00004ADE"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Средний период полувыведения был сопоставим у пациентов с легкой, умеренной и тяжелой печеночной недостаточностью, а также у пациентов с нормальной функцией печени и составлял от 26 до 31 часа. Процент дозы ленватиниба, экскретируемой с мочой, был низким во всех когортах (&lt;2,16% в когортах, получавших лечение).</w:t>
      </w:r>
    </w:p>
    <w:p w14:paraId="7E18F279" w14:textId="77777777" w:rsidR="005643C0" w:rsidRPr="005A46FC" w:rsidRDefault="005643C0" w:rsidP="005643C0">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Почечная недостаточность</w:t>
      </w:r>
    </w:p>
    <w:p w14:paraId="1E1B16A7" w14:textId="77777777" w:rsidR="005643C0" w:rsidRPr="005A46FC" w:rsidRDefault="005643C0" w:rsidP="005643C0">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Фармакокинетику ленватиниба после однократного приема в дозе 24 мг оценивали у 6 пациентов с легкой, умеренной и тяжелой почечной недостаточностью и сравнивали с 8 здоровыми демографически сопоставимыми субъектами. Субъекты с терминальной стадией почечной недостаточности не изучались.</w:t>
      </w:r>
    </w:p>
    <w:p w14:paraId="1040C08A" w14:textId="77777777" w:rsidR="005643C0" w:rsidRPr="005A46FC" w:rsidRDefault="005643C0" w:rsidP="005643C0">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Экспозиция ленватиниба, основанная на данных AUC</w:t>
      </w:r>
      <w:r w:rsidRPr="005A46FC">
        <w:rPr>
          <w:rFonts w:ascii="Times New Roman" w:hAnsi="Times New Roman"/>
          <w:bCs/>
          <w:iCs/>
          <w:sz w:val="24"/>
          <w:szCs w:val="24"/>
          <w:vertAlign w:val="subscript"/>
          <w:lang w:eastAsia="ru-RU"/>
        </w:rPr>
        <w:t>0-inf</w:t>
      </w:r>
      <w:r w:rsidRPr="005A46FC">
        <w:rPr>
          <w:rFonts w:ascii="Times New Roman" w:hAnsi="Times New Roman"/>
          <w:bCs/>
          <w:iCs/>
          <w:sz w:val="24"/>
          <w:szCs w:val="24"/>
          <w:lang w:eastAsia="ru-RU"/>
        </w:rPr>
        <w:t>, составляла 101%, 90% и 122% от нормы для пациентов с легкой, умеренной и тяжелой почечной недостаточностью соответственно. Было установлено, что связывание белков плазмы в плазме у субъектов с почечной недостаточностью было таким же, как и у соответствующих здоровых субъектов, и никакой зависимости от концентрации не наблюдалось. См. раздел 4.2 для рекомендаций по дозировке.</w:t>
      </w:r>
    </w:p>
    <w:p w14:paraId="1F2726A2" w14:textId="77777777" w:rsidR="003E36FE" w:rsidRPr="005A46FC" w:rsidRDefault="003E36FE" w:rsidP="003E36FE">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Возраст, пол, вес, раса</w:t>
      </w:r>
    </w:p>
    <w:p w14:paraId="3C01C6AE" w14:textId="77777777" w:rsidR="005643C0" w:rsidRPr="005A46FC" w:rsidRDefault="003E36FE" w:rsidP="003E36F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lastRenderedPageBreak/>
        <w:t>На основании популяционного фармакокинетического анализа пациентов, получавших ленватиниб в дозе до 24 мг один раз в сутки, возраст, пол, масса тела и расовая принадлежность (японцы в сравнении с другими, европеоиды в сравнении с другими) не оказывали клинически значимого влияния на клиренс (см. раздел 4.2).</w:t>
      </w:r>
    </w:p>
    <w:p w14:paraId="2B2FD309" w14:textId="77777777" w:rsidR="003E36FE" w:rsidRPr="005A46FC" w:rsidRDefault="003E36FE" w:rsidP="003E36FE">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Дети</w:t>
      </w:r>
    </w:p>
    <w:p w14:paraId="64BFC13B" w14:textId="77777777" w:rsidR="002E3DAD" w:rsidRPr="005A46FC" w:rsidRDefault="00C25B7D" w:rsidP="00C25B7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Данные основаны на популяционном фармакокинетическом анализе у детей в возрасте от 2 до 12 лет, который включал данные 3 педиатрических пациентов в возрасте от 2 до &lt;3 лет, 28 педиатрических пациентов в возрасте от ≥3 до &lt;6 лет и 89 педиатрических пациентов в возрасте от 6 до &lt;12 лет. В педиатрической программе ленватиниба на пероральный клиренс ленватиниба (CL/F) влияла масса тела, но не возраст. Прогнозируемые уровни воздействия с точки зрения площади под кривой в равновесном состоянии (AUCss) у педиатрических пациентов, получавших 14 мг/м</w:t>
      </w:r>
      <w:r w:rsidRPr="005A46FC">
        <w:rPr>
          <w:rFonts w:ascii="Times New Roman" w:hAnsi="Times New Roman"/>
          <w:bCs/>
          <w:iCs/>
          <w:sz w:val="24"/>
          <w:szCs w:val="24"/>
          <w:vertAlign w:val="superscript"/>
          <w:lang w:eastAsia="ru-RU"/>
        </w:rPr>
        <w:t>2</w:t>
      </w:r>
      <w:r w:rsidRPr="005A46FC">
        <w:rPr>
          <w:rFonts w:ascii="Times New Roman" w:hAnsi="Times New Roman"/>
          <w:bCs/>
          <w:iCs/>
          <w:sz w:val="24"/>
          <w:szCs w:val="24"/>
          <w:lang w:eastAsia="ru-RU"/>
        </w:rPr>
        <w:t>, были сопоставимы с результатами взрослых пациентов, получавших фиксированную дозу 24 мг. В этих исследованиях не было выявлено явных различий в фармакокинетике активного вещества ленватиниба среди детей (2–12 лет), подростков и молодых взрослых пациентов с изученными типами опухолей, но данные у детей относительно ограничены, чтобы сделать однозначные выводы (см. 4.2).</w:t>
      </w:r>
    </w:p>
    <w:p w14:paraId="2B64E0C8" w14:textId="77777777" w:rsidR="00C25B7D" w:rsidRPr="005A46FC" w:rsidRDefault="00C25B7D" w:rsidP="0078568D">
      <w:pPr>
        <w:autoSpaceDE w:val="0"/>
        <w:autoSpaceDN w:val="0"/>
        <w:adjustRightInd w:val="0"/>
        <w:spacing w:after="0" w:line="240" w:lineRule="auto"/>
        <w:rPr>
          <w:rFonts w:ascii="Times New Roman" w:hAnsi="Times New Roman"/>
          <w:b/>
          <w:iCs/>
          <w:sz w:val="24"/>
          <w:szCs w:val="24"/>
          <w:lang w:eastAsia="ru-RU"/>
        </w:rPr>
      </w:pPr>
    </w:p>
    <w:p w14:paraId="58102528" w14:textId="77777777" w:rsidR="00DF3381" w:rsidRPr="005A46FC" w:rsidRDefault="00515826"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5.3</w:t>
      </w:r>
      <w:r w:rsidR="00DF3381" w:rsidRPr="005A46FC">
        <w:rPr>
          <w:rFonts w:ascii="Times New Roman" w:hAnsi="Times New Roman"/>
          <w:b/>
          <w:sz w:val="24"/>
          <w:szCs w:val="24"/>
          <w:lang w:eastAsia="ru-RU"/>
        </w:rPr>
        <w:t xml:space="preserve"> </w:t>
      </w:r>
      <w:r w:rsidR="00DF3381" w:rsidRPr="005A46FC">
        <w:rPr>
          <w:rFonts w:ascii="Times New Roman" w:eastAsia="TimesNewRomanPSMT" w:hAnsi="Times New Roman"/>
          <w:b/>
          <w:sz w:val="24"/>
          <w:szCs w:val="24"/>
          <w:lang w:eastAsia="ru-RU"/>
        </w:rPr>
        <w:t>Да</w:t>
      </w:r>
      <w:r w:rsidR="00DD5E3A" w:rsidRPr="005A46FC">
        <w:rPr>
          <w:rFonts w:ascii="Times New Roman" w:eastAsia="TimesNewRomanPSMT" w:hAnsi="Times New Roman"/>
          <w:b/>
          <w:sz w:val="24"/>
          <w:szCs w:val="24"/>
          <w:lang w:eastAsia="ru-RU"/>
        </w:rPr>
        <w:t>нные доклинической безопасности</w:t>
      </w:r>
    </w:p>
    <w:p w14:paraId="7E6E5AD3" w14:textId="77777777" w:rsidR="00CE03ED" w:rsidRPr="005A46FC" w:rsidRDefault="007B073F" w:rsidP="007B073F">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В исследованиях токсичности повторных доз (до 39 недель) ленватиниб вызывал токсикологические изменения в различных органах и тканях, связанные с ожидаемыми фармакологическими эффектами ленватиниба, включая гломерулопатию, гипоцеллюлярность яичек, атрезию фолликулов яичников, желудочно-кишечные изменения, изменения костей, изменения поражения надпочечников (крысы и собаки) и артерий (артериальный фибриноидный некроз, медиальная дегенерация или кровоизлияние) у крыс, собак и яванских макак. Повышенные уровни трансаминаз, связанные с признаками гепатотоксичности, также наблюдались у крыс, собак и обезьян. Обратимость токсикологических изменений наблюдалась в конце 4-недельного периода восстановления у всех исследованных видов животных.</w:t>
      </w:r>
    </w:p>
    <w:p w14:paraId="6A9F550C" w14:textId="77777777" w:rsidR="007B073F" w:rsidRPr="005A46FC" w:rsidRDefault="007B073F" w:rsidP="007B073F">
      <w:pPr>
        <w:autoSpaceDE w:val="0"/>
        <w:autoSpaceDN w:val="0"/>
        <w:adjustRightInd w:val="0"/>
        <w:spacing w:after="0" w:line="240" w:lineRule="auto"/>
        <w:jc w:val="both"/>
        <w:rPr>
          <w:rFonts w:ascii="Times New Roman" w:hAnsi="Times New Roman"/>
          <w:i/>
          <w:sz w:val="24"/>
          <w:szCs w:val="24"/>
          <w:lang w:eastAsia="ru-RU"/>
        </w:rPr>
      </w:pPr>
      <w:r w:rsidRPr="005A46FC">
        <w:rPr>
          <w:rFonts w:ascii="Times New Roman" w:hAnsi="Times New Roman"/>
          <w:i/>
          <w:sz w:val="24"/>
          <w:szCs w:val="24"/>
          <w:lang w:eastAsia="ru-RU"/>
        </w:rPr>
        <w:t>Генотоксичность</w:t>
      </w:r>
    </w:p>
    <w:p w14:paraId="7D8EAC0F" w14:textId="77777777" w:rsidR="007B073F" w:rsidRPr="005A46FC" w:rsidRDefault="007B073F" w:rsidP="007B073F">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Ленватиниб не был генотоксичным.</w:t>
      </w:r>
    </w:p>
    <w:p w14:paraId="656BC192" w14:textId="77777777" w:rsidR="007B073F" w:rsidRPr="005A46FC" w:rsidRDefault="007B073F" w:rsidP="007B073F">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Исследования канцерогенности ленватиниба не проводились.</w:t>
      </w:r>
    </w:p>
    <w:p w14:paraId="71EDDD45" w14:textId="77777777" w:rsidR="007B073F" w:rsidRPr="005A46FC" w:rsidRDefault="007B073F" w:rsidP="007B073F">
      <w:pPr>
        <w:autoSpaceDE w:val="0"/>
        <w:autoSpaceDN w:val="0"/>
        <w:adjustRightInd w:val="0"/>
        <w:spacing w:after="0" w:line="240" w:lineRule="auto"/>
        <w:jc w:val="both"/>
        <w:rPr>
          <w:rFonts w:ascii="Times New Roman" w:hAnsi="Times New Roman"/>
          <w:i/>
          <w:sz w:val="24"/>
          <w:szCs w:val="24"/>
          <w:lang w:eastAsia="ru-RU"/>
        </w:rPr>
      </w:pPr>
      <w:r w:rsidRPr="005A46FC">
        <w:rPr>
          <w:rFonts w:ascii="Times New Roman" w:hAnsi="Times New Roman"/>
          <w:i/>
          <w:sz w:val="24"/>
          <w:szCs w:val="24"/>
          <w:lang w:eastAsia="ru-RU"/>
        </w:rPr>
        <w:t>Репродуктивная токсичность и токсичность для развития</w:t>
      </w:r>
    </w:p>
    <w:p w14:paraId="4D4E9B19" w14:textId="77777777" w:rsidR="00970C6C" w:rsidRPr="005A46FC" w:rsidRDefault="00970C6C" w:rsidP="007B073F">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 xml:space="preserve">Специальных исследований ленватиниба на животных для оценки влияния на фертильность не проводилось. Тем не менее, тестикулярные (гипоцеллюлярность семенного эпителия) и изменения яичников (фолликулярная атрезия) наблюдались в исследованиях токсичности многократных доз на животных при экпозиции от 11 до 15 раз (крысы) или от 0,6 до 7 раз (обезьяны) от ожидаемой клинической экспозиции (на основе на AUC) в максимально переносимой дозе для человека. Эти результаты были обратимы в конце 4-недельного периода восстановления. </w:t>
      </w:r>
    </w:p>
    <w:p w14:paraId="5BA0F1CF" w14:textId="77777777" w:rsidR="00970C6C" w:rsidRPr="005A46FC" w:rsidRDefault="00970C6C" w:rsidP="007B073F">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Введение ленватиниба во время органогенеза привело к эмбриолетальности и тератогенности у крыс (внешние и скелетные аномалии плода) при экспозиции ниже клинической (на основе AUC) в максимальной переносимой дозе для человека, а у кроликов (внешние, висцеральные или скелетные аномалии плода) на основе площади поверхности тела (в мг/м</w:t>
      </w:r>
      <w:r w:rsidRPr="005A46FC">
        <w:rPr>
          <w:rFonts w:ascii="Times New Roman" w:hAnsi="Times New Roman"/>
          <w:iCs/>
          <w:sz w:val="24"/>
          <w:szCs w:val="24"/>
          <w:vertAlign w:val="superscript"/>
          <w:lang w:eastAsia="ru-RU"/>
        </w:rPr>
        <w:t>2</w:t>
      </w:r>
      <w:r w:rsidRPr="005A46FC">
        <w:rPr>
          <w:rFonts w:ascii="Times New Roman" w:hAnsi="Times New Roman"/>
          <w:iCs/>
          <w:sz w:val="24"/>
          <w:szCs w:val="24"/>
          <w:lang w:eastAsia="ru-RU"/>
        </w:rPr>
        <w:t xml:space="preserve">) в максимально допустимой дозе для человека. Эти данные показывают, что ленватиниб обладает тератогенным потенциалом, вероятно, связанным с фармакологической активностью ленватиниба как антиангиогенного средства. </w:t>
      </w:r>
    </w:p>
    <w:p w14:paraId="48698956" w14:textId="77777777" w:rsidR="007B073F" w:rsidRPr="005A46FC" w:rsidRDefault="007B073F" w:rsidP="007B073F">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Ленватиниб и его метаболиты секретировались в молоко крыс.</w:t>
      </w:r>
    </w:p>
    <w:p w14:paraId="13C67ABE" w14:textId="77777777" w:rsidR="007B073F" w:rsidRPr="005A46FC" w:rsidRDefault="007B073F" w:rsidP="007B073F">
      <w:pPr>
        <w:autoSpaceDE w:val="0"/>
        <w:autoSpaceDN w:val="0"/>
        <w:adjustRightInd w:val="0"/>
        <w:spacing w:after="0" w:line="240" w:lineRule="auto"/>
        <w:jc w:val="both"/>
        <w:rPr>
          <w:rFonts w:ascii="Times New Roman" w:hAnsi="Times New Roman"/>
          <w:i/>
          <w:sz w:val="24"/>
          <w:szCs w:val="24"/>
          <w:lang w:eastAsia="ru-RU"/>
        </w:rPr>
      </w:pPr>
      <w:r w:rsidRPr="005A46FC">
        <w:rPr>
          <w:rFonts w:ascii="Times New Roman" w:hAnsi="Times New Roman"/>
          <w:i/>
          <w:sz w:val="24"/>
          <w:szCs w:val="24"/>
          <w:lang w:eastAsia="ru-RU"/>
        </w:rPr>
        <w:t>Исследования токсичности на юных животных</w:t>
      </w:r>
    </w:p>
    <w:p w14:paraId="405F7DFA" w14:textId="77777777" w:rsidR="00970C6C" w:rsidRPr="005A46FC" w:rsidRDefault="00970C6C" w:rsidP="00970C6C">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 xml:space="preserve">Смертность представляла собой ограничивающую дозу токсичность у молодых крыс, у которых дозирование начинали в послеродовой день (PND) 7 или 21, и наблюдалась </w:t>
      </w:r>
      <w:r w:rsidRPr="005A46FC">
        <w:rPr>
          <w:rFonts w:ascii="Times New Roman" w:hAnsi="Times New Roman"/>
          <w:iCs/>
          <w:sz w:val="24"/>
          <w:szCs w:val="24"/>
          <w:lang w:eastAsia="ru-RU"/>
        </w:rPr>
        <w:lastRenderedPageBreak/>
        <w:t xml:space="preserve">при экспозициях, которые были соответственно в 125 или 12 раз ниже по сравнению с экспозицией, при которой наблюдалась смертность у взрослых крыс, что свидетельствует о повышении чувствительности к токсичности с возрастом. Следовательно, смертность может быть отнесена на счет осложнений, связанных с первичным поражением двенадцатиперстной кишки, с возможным вкладом дополнительной токсичности в незрелые органы-мишени. </w:t>
      </w:r>
    </w:p>
    <w:p w14:paraId="2A70A714" w14:textId="77777777" w:rsidR="007B073F" w:rsidRPr="005A46FC" w:rsidRDefault="00970C6C" w:rsidP="00970C6C">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Токсичность ленватиниба была более выраженной у молодых крыс (введение дозы было начато с PND7) по сравнению с крысами с введением дозы с PND21, а также смертность и некоторые токсические эффекты наблюдались раньше у молодых крыс при дозе 10 мг/кг по сравнению со взрослыми крысами, которым вводили тот же уровень дозы. Задержка роста, вторичная задержка физического развития и поражения, связанные с фармакологическими эффектами (резцы, бедренная кость [эпифизарная пластина роста], почки, надпочечники и двенадцатиперстная кишка) также наблюдались у молодых крыс.</w:t>
      </w:r>
    </w:p>
    <w:p w14:paraId="3EC67A24" w14:textId="77777777" w:rsidR="00970C6C" w:rsidRPr="005A46FC" w:rsidRDefault="00970C6C" w:rsidP="00970C6C">
      <w:pPr>
        <w:autoSpaceDE w:val="0"/>
        <w:autoSpaceDN w:val="0"/>
        <w:adjustRightInd w:val="0"/>
        <w:spacing w:after="0" w:line="240" w:lineRule="auto"/>
        <w:rPr>
          <w:rFonts w:ascii="Times New Roman" w:hAnsi="Times New Roman"/>
          <w:b/>
          <w:sz w:val="24"/>
          <w:szCs w:val="24"/>
          <w:lang w:eastAsia="ru-RU"/>
        </w:rPr>
      </w:pPr>
    </w:p>
    <w:p w14:paraId="5F4882AE" w14:textId="77777777" w:rsidR="00DF3381" w:rsidRPr="005A46FC"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 xml:space="preserve">6. </w:t>
      </w:r>
      <w:r w:rsidRPr="005A46FC">
        <w:rPr>
          <w:rFonts w:ascii="Times New Roman" w:eastAsia="TimesNewRomanPSMT" w:hAnsi="Times New Roman"/>
          <w:b/>
          <w:sz w:val="24"/>
          <w:szCs w:val="24"/>
          <w:lang w:eastAsia="ru-RU"/>
        </w:rPr>
        <w:t>ФАРМАЦЕВТИЧЕСКИЕ СВОЙСТВА</w:t>
      </w:r>
    </w:p>
    <w:p w14:paraId="7BCA319D" w14:textId="77777777" w:rsidR="005921EA" w:rsidRPr="005A46FC" w:rsidRDefault="00515826"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6.1</w:t>
      </w:r>
      <w:r w:rsidR="00DF3381" w:rsidRPr="005A46FC">
        <w:rPr>
          <w:rFonts w:ascii="Times New Roman" w:hAnsi="Times New Roman"/>
          <w:b/>
          <w:sz w:val="24"/>
          <w:szCs w:val="24"/>
          <w:lang w:eastAsia="ru-RU"/>
        </w:rPr>
        <w:t xml:space="preserve"> </w:t>
      </w:r>
      <w:r w:rsidR="00DF3381" w:rsidRPr="005A46FC">
        <w:rPr>
          <w:rFonts w:ascii="Times New Roman" w:eastAsia="TimesNewRomanPSMT" w:hAnsi="Times New Roman"/>
          <w:b/>
          <w:sz w:val="24"/>
          <w:szCs w:val="24"/>
          <w:lang w:eastAsia="ru-RU"/>
        </w:rPr>
        <w:t>Перечень вспомогательных веществ</w:t>
      </w:r>
    </w:p>
    <w:p w14:paraId="16DE3D2A" w14:textId="77777777" w:rsidR="00165A8B" w:rsidRPr="005A46FC" w:rsidRDefault="00165A8B" w:rsidP="00165A8B">
      <w:pPr>
        <w:autoSpaceDE w:val="0"/>
        <w:autoSpaceDN w:val="0"/>
        <w:adjustRightInd w:val="0"/>
        <w:spacing w:after="0" w:line="240" w:lineRule="auto"/>
        <w:rPr>
          <w:rFonts w:ascii="Times New Roman" w:eastAsia="TimesNewRomanPSMT" w:hAnsi="Times New Roman"/>
          <w:sz w:val="24"/>
          <w:szCs w:val="24"/>
          <w:lang w:eastAsia="ru-RU"/>
        </w:rPr>
      </w:pPr>
      <w:r w:rsidRPr="005A46FC">
        <w:rPr>
          <w:rFonts w:ascii="Times New Roman" w:eastAsia="TimesNewRomanPSMT" w:hAnsi="Times New Roman"/>
          <w:sz w:val="24"/>
          <w:szCs w:val="24"/>
          <w:lang w:eastAsia="ru-RU"/>
        </w:rPr>
        <w:t>гидроксипропилметилцеллюлоза (HPMC E5 LV)</w:t>
      </w:r>
    </w:p>
    <w:p w14:paraId="66DD21BD" w14:textId="77777777" w:rsidR="00515826"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целлюлоза микрокристаллическая РН 112 (Flocel 112)</w:t>
      </w:r>
    </w:p>
    <w:p w14:paraId="4C643350"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кальция карбонат осажденный (Emplura)</w:t>
      </w:r>
    </w:p>
    <w:p w14:paraId="3B11743B"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гидроксипропилцеллюлоза (Klucel-LF)</w:t>
      </w:r>
    </w:p>
    <w:p w14:paraId="27A4D20D"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гидроксипропилцеллюлоза низкозамещенная (L-HPC LH-11)</w:t>
      </w:r>
    </w:p>
    <w:p w14:paraId="791B15A9"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тальк очищенный</w:t>
      </w:r>
    </w:p>
    <w:p w14:paraId="1F1AE58A" w14:textId="77777777" w:rsidR="00003871" w:rsidRPr="005A46FC" w:rsidRDefault="00003871" w:rsidP="00165A8B">
      <w:pPr>
        <w:autoSpaceDE w:val="0"/>
        <w:autoSpaceDN w:val="0"/>
        <w:adjustRightInd w:val="0"/>
        <w:spacing w:after="0" w:line="240" w:lineRule="auto"/>
        <w:rPr>
          <w:rFonts w:ascii="Times New Roman" w:hAnsi="Times New Roman"/>
          <w:bCs/>
          <w:i/>
          <w:iCs/>
          <w:sz w:val="24"/>
          <w:szCs w:val="24"/>
          <w:lang w:eastAsia="ru-RU"/>
        </w:rPr>
      </w:pPr>
      <w:r w:rsidRPr="005A46FC">
        <w:rPr>
          <w:rFonts w:ascii="Times New Roman" w:hAnsi="Times New Roman"/>
          <w:bCs/>
          <w:i/>
          <w:iCs/>
          <w:sz w:val="24"/>
          <w:szCs w:val="24"/>
          <w:lang w:eastAsia="ru-RU"/>
        </w:rPr>
        <w:t>Масса содержимого капсулы:</w:t>
      </w:r>
    </w:p>
    <w:p w14:paraId="65E49D65"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 xml:space="preserve">Твердая желатиновая капсула размером «4» (для дозировки 4 мг) </w:t>
      </w:r>
    </w:p>
    <w:p w14:paraId="0E7729B9" w14:textId="77777777" w:rsidR="00165A8B" w:rsidRPr="005A46FC" w:rsidRDefault="000E14EE"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т</w:t>
      </w:r>
      <w:r w:rsidR="00165A8B" w:rsidRPr="005A46FC">
        <w:rPr>
          <w:rFonts w:ascii="Times New Roman" w:hAnsi="Times New Roman"/>
          <w:bCs/>
          <w:sz w:val="24"/>
          <w:szCs w:val="24"/>
          <w:lang w:eastAsia="ru-RU"/>
        </w:rPr>
        <w:t>вердая желатиновая капсула размером «1» (для дозировки 10 мг)</w:t>
      </w:r>
    </w:p>
    <w:p w14:paraId="0C88659E" w14:textId="77777777" w:rsidR="00003871" w:rsidRPr="005A46FC" w:rsidRDefault="00003871" w:rsidP="00165A8B">
      <w:pPr>
        <w:autoSpaceDE w:val="0"/>
        <w:autoSpaceDN w:val="0"/>
        <w:adjustRightInd w:val="0"/>
        <w:spacing w:after="0" w:line="240" w:lineRule="auto"/>
        <w:rPr>
          <w:rFonts w:ascii="Times New Roman" w:hAnsi="Times New Roman"/>
          <w:bCs/>
          <w:i/>
          <w:iCs/>
          <w:sz w:val="24"/>
          <w:szCs w:val="24"/>
          <w:lang w:eastAsia="ru-RU"/>
        </w:rPr>
      </w:pPr>
      <w:r w:rsidRPr="005A46FC">
        <w:rPr>
          <w:rFonts w:ascii="Times New Roman" w:hAnsi="Times New Roman"/>
          <w:bCs/>
          <w:i/>
          <w:iCs/>
          <w:sz w:val="24"/>
          <w:szCs w:val="24"/>
          <w:lang w:eastAsia="ru-RU"/>
        </w:rPr>
        <w:t>Состав капсулы:</w:t>
      </w:r>
    </w:p>
    <w:p w14:paraId="67AF15D8"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натрия додецилсульфат</w:t>
      </w:r>
    </w:p>
    <w:p w14:paraId="42E5E931"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метилпарабен</w:t>
      </w:r>
    </w:p>
    <w:p w14:paraId="092FE1F5"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пропилпарабен</w:t>
      </w:r>
    </w:p>
    <w:p w14:paraId="0CFC2FBA"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поливинилпирролидон К-30</w:t>
      </w:r>
    </w:p>
    <w:p w14:paraId="41BF9D21"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титана диоксид (Е171)</w:t>
      </w:r>
    </w:p>
    <w:p w14:paraId="6EFBDB6B"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вода очищенная</w:t>
      </w:r>
    </w:p>
    <w:p w14:paraId="4F1D8F4E"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желатин</w:t>
      </w:r>
    </w:p>
    <w:p w14:paraId="3C0F91DB" w14:textId="77777777" w:rsidR="00165A8B" w:rsidRPr="005A46FC" w:rsidRDefault="00165A8B" w:rsidP="0078568D">
      <w:pPr>
        <w:autoSpaceDE w:val="0"/>
        <w:autoSpaceDN w:val="0"/>
        <w:adjustRightInd w:val="0"/>
        <w:spacing w:after="0" w:line="240" w:lineRule="auto"/>
        <w:rPr>
          <w:rFonts w:ascii="Times New Roman" w:hAnsi="Times New Roman"/>
          <w:bCs/>
          <w:sz w:val="24"/>
          <w:szCs w:val="24"/>
          <w:lang w:eastAsia="ru-RU"/>
        </w:rPr>
      </w:pPr>
    </w:p>
    <w:p w14:paraId="3C5B5553" w14:textId="77777777" w:rsidR="00DF3381" w:rsidRPr="005A46FC" w:rsidRDefault="00515826"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6.2</w:t>
      </w:r>
      <w:r w:rsidR="00DF3381" w:rsidRPr="005A46FC">
        <w:rPr>
          <w:rFonts w:ascii="Times New Roman" w:hAnsi="Times New Roman"/>
          <w:b/>
          <w:sz w:val="24"/>
          <w:szCs w:val="24"/>
          <w:lang w:eastAsia="ru-RU"/>
        </w:rPr>
        <w:t xml:space="preserve"> </w:t>
      </w:r>
      <w:r w:rsidR="00DF3381" w:rsidRPr="005A46FC">
        <w:rPr>
          <w:rFonts w:ascii="Times New Roman" w:eastAsia="TimesNewRomanPSMT" w:hAnsi="Times New Roman"/>
          <w:b/>
          <w:sz w:val="24"/>
          <w:szCs w:val="24"/>
          <w:lang w:eastAsia="ru-RU"/>
        </w:rPr>
        <w:t>Несовместимость</w:t>
      </w:r>
    </w:p>
    <w:p w14:paraId="16E53808" w14:textId="77777777" w:rsidR="00215CBB" w:rsidRPr="005A46FC" w:rsidRDefault="00EC4975" w:rsidP="00215CBB">
      <w:pPr>
        <w:autoSpaceDE w:val="0"/>
        <w:autoSpaceDN w:val="0"/>
        <w:adjustRightInd w:val="0"/>
        <w:spacing w:after="0" w:line="240" w:lineRule="auto"/>
        <w:jc w:val="both"/>
        <w:rPr>
          <w:rFonts w:ascii="Times New Roman" w:eastAsia="TimesNewRomanPSMT" w:hAnsi="Times New Roman"/>
          <w:sz w:val="24"/>
          <w:szCs w:val="24"/>
          <w:lang w:eastAsia="ru-RU"/>
        </w:rPr>
      </w:pPr>
      <w:r w:rsidRPr="005A46FC">
        <w:rPr>
          <w:rFonts w:ascii="Times New Roman" w:eastAsia="TimesNewRomanPSMT" w:hAnsi="Times New Roman"/>
          <w:sz w:val="24"/>
          <w:szCs w:val="24"/>
          <w:lang w:eastAsia="ru-RU"/>
        </w:rPr>
        <w:t>Не применимо</w:t>
      </w:r>
    </w:p>
    <w:p w14:paraId="72A34D71" w14:textId="77777777" w:rsidR="00515826" w:rsidRPr="005A46FC" w:rsidRDefault="00515826" w:rsidP="0078568D">
      <w:pPr>
        <w:spacing w:after="0" w:line="240" w:lineRule="auto"/>
        <w:jc w:val="both"/>
        <w:rPr>
          <w:rFonts w:ascii="Times New Roman" w:hAnsi="Times New Roman"/>
          <w:b/>
          <w:sz w:val="24"/>
          <w:szCs w:val="24"/>
          <w:lang w:bidi="ru-RU"/>
        </w:rPr>
      </w:pPr>
    </w:p>
    <w:p w14:paraId="7DDECD47" w14:textId="77777777" w:rsidR="009128A3" w:rsidRPr="005A46FC" w:rsidRDefault="009128A3" w:rsidP="0078568D">
      <w:pPr>
        <w:spacing w:after="0" w:line="240" w:lineRule="auto"/>
        <w:jc w:val="both"/>
        <w:rPr>
          <w:rFonts w:ascii="Times New Roman" w:hAnsi="Times New Roman"/>
          <w:b/>
          <w:sz w:val="24"/>
          <w:szCs w:val="24"/>
          <w:lang w:bidi="ru-RU"/>
        </w:rPr>
      </w:pPr>
      <w:r w:rsidRPr="005A46FC">
        <w:rPr>
          <w:rFonts w:ascii="Times New Roman" w:hAnsi="Times New Roman"/>
          <w:b/>
          <w:sz w:val="24"/>
          <w:szCs w:val="24"/>
          <w:lang w:bidi="ru-RU"/>
        </w:rPr>
        <w:t>6.3</w:t>
      </w:r>
      <w:r w:rsidRPr="005A46FC">
        <w:rPr>
          <w:rFonts w:ascii="Times New Roman" w:hAnsi="Times New Roman"/>
          <w:sz w:val="24"/>
          <w:szCs w:val="24"/>
          <w:lang w:bidi="ru-RU"/>
        </w:rPr>
        <w:t xml:space="preserve"> </w:t>
      </w:r>
      <w:r w:rsidRPr="005A46FC">
        <w:rPr>
          <w:rFonts w:ascii="Times New Roman" w:hAnsi="Times New Roman"/>
          <w:b/>
          <w:sz w:val="24"/>
          <w:szCs w:val="24"/>
          <w:lang w:bidi="ru-RU"/>
        </w:rPr>
        <w:t>Срок годности</w:t>
      </w:r>
    </w:p>
    <w:p w14:paraId="677605EA" w14:textId="77777777" w:rsidR="00CE03ED" w:rsidRPr="005A46FC" w:rsidRDefault="00EC4975" w:rsidP="0078568D">
      <w:pPr>
        <w:spacing w:after="0" w:line="240" w:lineRule="auto"/>
        <w:jc w:val="both"/>
        <w:rPr>
          <w:rFonts w:ascii="Times New Roman" w:hAnsi="Times New Roman"/>
          <w:sz w:val="24"/>
          <w:szCs w:val="24"/>
          <w:lang w:bidi="ru-RU"/>
        </w:rPr>
      </w:pPr>
      <w:r w:rsidRPr="005A46FC">
        <w:rPr>
          <w:rFonts w:ascii="Times New Roman" w:hAnsi="Times New Roman"/>
          <w:sz w:val="24"/>
          <w:szCs w:val="24"/>
          <w:lang w:bidi="ru-RU"/>
        </w:rPr>
        <w:t>2 года</w:t>
      </w:r>
    </w:p>
    <w:p w14:paraId="35CDDC38" w14:textId="77777777" w:rsidR="00CE03ED" w:rsidRPr="005A46FC" w:rsidRDefault="00CE03ED" w:rsidP="0078568D">
      <w:pPr>
        <w:spacing w:after="0" w:line="240" w:lineRule="auto"/>
        <w:jc w:val="both"/>
        <w:rPr>
          <w:rFonts w:ascii="Times New Roman" w:hAnsi="Times New Roman"/>
          <w:sz w:val="24"/>
          <w:szCs w:val="24"/>
        </w:rPr>
      </w:pPr>
      <w:r w:rsidRPr="005A46FC">
        <w:rPr>
          <w:rFonts w:ascii="Times New Roman" w:hAnsi="Times New Roman"/>
          <w:sz w:val="24"/>
          <w:szCs w:val="24"/>
          <w:lang w:bidi="ru-RU"/>
        </w:rPr>
        <w:t>Не применять по истечении срока годности.</w:t>
      </w:r>
    </w:p>
    <w:p w14:paraId="35860DA3" w14:textId="77777777" w:rsidR="00515826" w:rsidRPr="005A46FC" w:rsidRDefault="00515826" w:rsidP="0078568D">
      <w:pPr>
        <w:spacing w:after="0" w:line="240" w:lineRule="auto"/>
        <w:jc w:val="both"/>
        <w:rPr>
          <w:rFonts w:ascii="Times New Roman" w:eastAsia="Times New Roman" w:hAnsi="Times New Roman"/>
          <w:b/>
          <w:sz w:val="24"/>
          <w:szCs w:val="24"/>
          <w:lang w:eastAsia="ru-RU"/>
        </w:rPr>
      </w:pPr>
    </w:p>
    <w:p w14:paraId="72C5F004" w14:textId="77777777" w:rsidR="00632571" w:rsidRPr="005A46FC" w:rsidRDefault="00632571"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 xml:space="preserve">6.4 </w:t>
      </w:r>
      <w:r w:rsidRPr="005A46FC">
        <w:rPr>
          <w:rFonts w:ascii="Times New Roman" w:hAnsi="Times New Roman"/>
          <w:b/>
          <w:sz w:val="24"/>
          <w:szCs w:val="24"/>
          <w:lang w:bidi="ru-RU"/>
        </w:rPr>
        <w:t xml:space="preserve">Особые </w:t>
      </w:r>
      <w:r w:rsidRPr="005A46FC">
        <w:rPr>
          <w:rFonts w:ascii="Times New Roman" w:eastAsia="Times New Roman" w:hAnsi="Times New Roman"/>
          <w:b/>
          <w:sz w:val="24"/>
          <w:szCs w:val="24"/>
          <w:lang w:eastAsia="ru-RU"/>
        </w:rPr>
        <w:t>меры предосторожности при хранении</w:t>
      </w:r>
    </w:p>
    <w:p w14:paraId="2E95C66F" w14:textId="77777777" w:rsidR="00632571" w:rsidRPr="005A46FC" w:rsidRDefault="00632571" w:rsidP="0078568D">
      <w:pPr>
        <w:spacing w:after="0" w:line="240" w:lineRule="auto"/>
        <w:jc w:val="both"/>
        <w:rPr>
          <w:rFonts w:ascii="Times New Roman" w:hAnsi="Times New Roman"/>
          <w:sz w:val="24"/>
          <w:szCs w:val="24"/>
        </w:rPr>
      </w:pPr>
      <w:r w:rsidRPr="005A46FC">
        <w:rPr>
          <w:rFonts w:ascii="Times New Roman" w:hAnsi="Times New Roman"/>
          <w:sz w:val="24"/>
          <w:szCs w:val="24"/>
        </w:rPr>
        <w:t xml:space="preserve">Хранить в сухом, защищённом от света месте при температуре </w:t>
      </w:r>
      <w:r w:rsidR="005921EA" w:rsidRPr="005A46FC">
        <w:rPr>
          <w:rFonts w:ascii="Times New Roman" w:hAnsi="Times New Roman"/>
          <w:sz w:val="24"/>
          <w:szCs w:val="24"/>
        </w:rPr>
        <w:t xml:space="preserve">не выше </w:t>
      </w:r>
      <w:r w:rsidR="00EC4975" w:rsidRPr="005A46FC">
        <w:rPr>
          <w:rFonts w:ascii="Times New Roman" w:hAnsi="Times New Roman"/>
          <w:sz w:val="24"/>
          <w:szCs w:val="24"/>
        </w:rPr>
        <w:t>30</w:t>
      </w:r>
      <w:r w:rsidR="0041359A" w:rsidRPr="005A46FC">
        <w:rPr>
          <w:rFonts w:ascii="Times New Roman" w:hAnsi="Times New Roman"/>
          <w:sz w:val="24"/>
          <w:szCs w:val="24"/>
        </w:rPr>
        <w:t xml:space="preserve"> </w:t>
      </w:r>
      <w:r w:rsidRPr="005A46FC">
        <w:rPr>
          <w:rFonts w:ascii="Times New Roman" w:hAnsi="Times New Roman"/>
          <w:sz w:val="24"/>
          <w:szCs w:val="24"/>
        </w:rPr>
        <w:t xml:space="preserve">ºС. </w:t>
      </w:r>
    </w:p>
    <w:p w14:paraId="42EA6944" w14:textId="77777777" w:rsidR="00632571" w:rsidRPr="005A46FC" w:rsidRDefault="00632571" w:rsidP="0078568D">
      <w:pPr>
        <w:spacing w:after="0" w:line="240" w:lineRule="auto"/>
        <w:jc w:val="both"/>
        <w:rPr>
          <w:rFonts w:ascii="Times New Roman" w:hAnsi="Times New Roman"/>
          <w:sz w:val="24"/>
          <w:szCs w:val="24"/>
        </w:rPr>
      </w:pPr>
      <w:r w:rsidRPr="005A46FC">
        <w:rPr>
          <w:rFonts w:ascii="Times New Roman" w:hAnsi="Times New Roman"/>
          <w:sz w:val="24"/>
          <w:szCs w:val="24"/>
        </w:rPr>
        <w:t xml:space="preserve">Хранить в недоступном для детей месте! </w:t>
      </w:r>
      <w:bookmarkStart w:id="9" w:name="2175220289"/>
    </w:p>
    <w:bookmarkEnd w:id="9"/>
    <w:p w14:paraId="35D5207C" w14:textId="77777777" w:rsidR="00515826" w:rsidRPr="005A46FC" w:rsidRDefault="00515826" w:rsidP="0078568D">
      <w:pPr>
        <w:autoSpaceDE w:val="0"/>
        <w:autoSpaceDN w:val="0"/>
        <w:adjustRightInd w:val="0"/>
        <w:spacing w:after="0" w:line="240" w:lineRule="auto"/>
        <w:rPr>
          <w:rFonts w:ascii="Times New Roman" w:hAnsi="Times New Roman"/>
          <w:b/>
          <w:sz w:val="24"/>
          <w:szCs w:val="24"/>
          <w:lang w:eastAsia="ru-RU"/>
        </w:rPr>
      </w:pPr>
    </w:p>
    <w:p w14:paraId="4C4BF329" w14:textId="77777777" w:rsidR="00B90A1E" w:rsidRPr="005A46FC" w:rsidRDefault="00EC480E"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6.5</w:t>
      </w:r>
      <w:r w:rsidR="00B90A1E" w:rsidRPr="005A46FC">
        <w:rPr>
          <w:rFonts w:ascii="Times New Roman" w:hAnsi="Times New Roman"/>
          <w:b/>
          <w:sz w:val="24"/>
          <w:szCs w:val="24"/>
          <w:lang w:eastAsia="ru-RU"/>
        </w:rPr>
        <w:t xml:space="preserve"> </w:t>
      </w:r>
      <w:r w:rsidR="001E2FC7" w:rsidRPr="005A46FC">
        <w:rPr>
          <w:rFonts w:ascii="Times New Roman" w:eastAsia="TimesNewRomanPSMT" w:hAnsi="Times New Roman"/>
          <w:b/>
          <w:sz w:val="24"/>
          <w:szCs w:val="24"/>
          <w:lang w:eastAsia="ru-RU"/>
        </w:rPr>
        <w:t>Форма выпуска и упаковка</w:t>
      </w:r>
      <w:r w:rsidR="00B90A1E" w:rsidRPr="005A46FC">
        <w:rPr>
          <w:rFonts w:ascii="Times New Roman" w:eastAsia="TimesNewRomanPSMT" w:hAnsi="Times New Roman"/>
          <w:b/>
          <w:sz w:val="24"/>
          <w:szCs w:val="24"/>
          <w:lang w:eastAsia="ru-RU"/>
        </w:rPr>
        <w:t xml:space="preserve"> </w:t>
      </w:r>
    </w:p>
    <w:p w14:paraId="18BC5BFD" w14:textId="77777777" w:rsidR="00EC4975" w:rsidRPr="005A46FC" w:rsidRDefault="00EC4975" w:rsidP="00EC4975">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eastAsia="ru-RU" w:bidi="ru-RU"/>
        </w:rPr>
        <w:t>По 10 капсул помещают в контурную ячейковую упаковку из фольги алюминиевой (Alu/Alu).</w:t>
      </w:r>
    </w:p>
    <w:p w14:paraId="0D21C890" w14:textId="77777777" w:rsidR="00515826" w:rsidRPr="005A46FC" w:rsidRDefault="00EC4975" w:rsidP="00EC4975">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eastAsia="ru-RU" w:bidi="ru-RU"/>
        </w:rPr>
        <w:t>По 3 контурные ячейковые упаковки вместе с инструкцией по медицинскому применению на казахском и русском языках помещают в пачку из картона</w:t>
      </w:r>
      <w:r w:rsidR="002F2C60" w:rsidRPr="005A46FC">
        <w:rPr>
          <w:rFonts w:ascii="Times New Roman" w:eastAsia="Microsoft Sans Serif" w:hAnsi="Times New Roman"/>
          <w:sz w:val="24"/>
          <w:szCs w:val="24"/>
          <w:lang w:eastAsia="ru-RU" w:bidi="ru-RU"/>
        </w:rPr>
        <w:t>.</w:t>
      </w:r>
    </w:p>
    <w:p w14:paraId="6417F302" w14:textId="77777777" w:rsidR="00EC4975" w:rsidRPr="005A46FC" w:rsidRDefault="00EC4975" w:rsidP="00EC4975">
      <w:pPr>
        <w:autoSpaceDE w:val="0"/>
        <w:autoSpaceDN w:val="0"/>
        <w:adjustRightInd w:val="0"/>
        <w:spacing w:after="0" w:line="240" w:lineRule="auto"/>
        <w:jc w:val="both"/>
        <w:rPr>
          <w:rFonts w:ascii="Times New Roman" w:hAnsi="Times New Roman"/>
          <w:b/>
          <w:sz w:val="24"/>
          <w:szCs w:val="24"/>
          <w:lang w:eastAsia="ru-RU"/>
        </w:rPr>
      </w:pPr>
    </w:p>
    <w:p w14:paraId="05D2847F" w14:textId="77777777" w:rsidR="00B90A1E" w:rsidRPr="005A46FC" w:rsidRDefault="00515826" w:rsidP="00515826">
      <w:pPr>
        <w:tabs>
          <w:tab w:val="left" w:pos="284"/>
        </w:tabs>
        <w:autoSpaceDE w:val="0"/>
        <w:autoSpaceDN w:val="0"/>
        <w:adjustRightInd w:val="0"/>
        <w:spacing w:after="0" w:line="240" w:lineRule="auto"/>
        <w:jc w:val="both"/>
        <w:rPr>
          <w:rFonts w:ascii="Times New Roman" w:eastAsia="TimesNewRomanPSMT" w:hAnsi="Times New Roman"/>
          <w:b/>
          <w:sz w:val="24"/>
          <w:szCs w:val="24"/>
          <w:lang w:eastAsia="ru-RU"/>
        </w:rPr>
      </w:pPr>
      <w:r w:rsidRPr="005A46FC">
        <w:rPr>
          <w:rFonts w:ascii="Times New Roman" w:hAnsi="Times New Roman"/>
          <w:b/>
          <w:sz w:val="24"/>
          <w:szCs w:val="24"/>
          <w:lang w:eastAsia="ru-RU"/>
        </w:rPr>
        <w:lastRenderedPageBreak/>
        <w:t xml:space="preserve">6.6 </w:t>
      </w:r>
      <w:r w:rsidR="00B90A1E" w:rsidRPr="005A46FC">
        <w:rPr>
          <w:rFonts w:ascii="Times New Roman" w:eastAsia="TimesNewRomanPSMT" w:hAnsi="Times New Roman"/>
          <w:b/>
          <w:sz w:val="24"/>
          <w:szCs w:val="24"/>
          <w:lang w:eastAsia="ru-RU"/>
        </w:rPr>
        <w:t>Особые меры предосторожности при уничтожении</w:t>
      </w:r>
      <w:r w:rsidR="00A26BB4" w:rsidRPr="005A46FC">
        <w:rPr>
          <w:rFonts w:ascii="Times New Roman" w:eastAsia="TimesNewRomanPSMT" w:hAnsi="Times New Roman"/>
          <w:b/>
          <w:sz w:val="24"/>
          <w:szCs w:val="24"/>
          <w:lang w:eastAsia="ru-RU"/>
        </w:rPr>
        <w:t xml:space="preserve"> </w:t>
      </w:r>
      <w:r w:rsidR="00B90A1E" w:rsidRPr="005A46FC">
        <w:rPr>
          <w:rFonts w:ascii="Times New Roman" w:eastAsia="TimesNewRomanPSMT" w:hAnsi="Times New Roman"/>
          <w:b/>
          <w:sz w:val="24"/>
          <w:szCs w:val="24"/>
          <w:lang w:eastAsia="ru-RU"/>
        </w:rPr>
        <w:t>использованного лекарственного препарата или отходов, полученных</w:t>
      </w:r>
      <w:r w:rsidR="00A26BB4" w:rsidRPr="005A46FC">
        <w:rPr>
          <w:rFonts w:ascii="Times New Roman" w:eastAsia="TimesNewRomanPSMT" w:hAnsi="Times New Roman"/>
          <w:b/>
          <w:sz w:val="24"/>
          <w:szCs w:val="24"/>
          <w:lang w:eastAsia="ru-RU"/>
        </w:rPr>
        <w:t xml:space="preserve"> </w:t>
      </w:r>
      <w:r w:rsidR="00B90A1E" w:rsidRPr="005A46FC">
        <w:rPr>
          <w:rFonts w:ascii="Times New Roman" w:eastAsia="TimesNewRomanPSMT" w:hAnsi="Times New Roman"/>
          <w:b/>
          <w:sz w:val="24"/>
          <w:szCs w:val="24"/>
          <w:lang w:eastAsia="ru-RU"/>
        </w:rPr>
        <w:t>после применения лекарственного пре</w:t>
      </w:r>
      <w:r w:rsidR="00881BDD" w:rsidRPr="005A46FC">
        <w:rPr>
          <w:rFonts w:ascii="Times New Roman" w:eastAsia="TimesNewRomanPSMT" w:hAnsi="Times New Roman"/>
          <w:b/>
          <w:sz w:val="24"/>
          <w:szCs w:val="24"/>
          <w:lang w:eastAsia="ru-RU"/>
        </w:rPr>
        <w:t>парата или работы с ним</w:t>
      </w:r>
    </w:p>
    <w:p w14:paraId="7831BDC5" w14:textId="77777777" w:rsidR="004C6613" w:rsidRPr="005A46FC" w:rsidRDefault="00EF3E34" w:rsidP="0078568D">
      <w:pPr>
        <w:autoSpaceDE w:val="0"/>
        <w:autoSpaceDN w:val="0"/>
        <w:adjustRightInd w:val="0"/>
        <w:spacing w:after="0" w:line="240" w:lineRule="auto"/>
        <w:rPr>
          <w:rFonts w:ascii="Times New Roman" w:hAnsi="Times New Roman"/>
          <w:sz w:val="24"/>
          <w:szCs w:val="24"/>
        </w:rPr>
      </w:pPr>
      <w:r w:rsidRPr="005A46FC">
        <w:rPr>
          <w:rFonts w:ascii="Times New Roman" w:hAnsi="Times New Roman"/>
          <w:sz w:val="24"/>
          <w:szCs w:val="24"/>
        </w:rPr>
        <w:t>Утилизировать в соответствии с установленными требованиями.</w:t>
      </w:r>
    </w:p>
    <w:p w14:paraId="274A3344" w14:textId="77777777" w:rsidR="00515826" w:rsidRPr="005A46FC" w:rsidRDefault="00515826" w:rsidP="0078568D">
      <w:pPr>
        <w:autoSpaceDE w:val="0"/>
        <w:autoSpaceDN w:val="0"/>
        <w:adjustRightInd w:val="0"/>
        <w:spacing w:after="0" w:line="240" w:lineRule="auto"/>
        <w:rPr>
          <w:rFonts w:ascii="Times New Roman" w:hAnsi="Times New Roman"/>
          <w:b/>
          <w:bCs/>
          <w:sz w:val="24"/>
          <w:szCs w:val="24"/>
        </w:rPr>
      </w:pPr>
    </w:p>
    <w:p w14:paraId="649D858D" w14:textId="77777777" w:rsidR="00724DB0" w:rsidRPr="005A46FC" w:rsidRDefault="004200EA" w:rsidP="0078568D">
      <w:pPr>
        <w:autoSpaceDE w:val="0"/>
        <w:autoSpaceDN w:val="0"/>
        <w:adjustRightInd w:val="0"/>
        <w:spacing w:after="0" w:line="240" w:lineRule="auto"/>
        <w:rPr>
          <w:rFonts w:ascii="Times New Roman" w:hAnsi="Times New Roman"/>
          <w:b/>
          <w:bCs/>
          <w:sz w:val="24"/>
          <w:szCs w:val="24"/>
        </w:rPr>
      </w:pPr>
      <w:r w:rsidRPr="005A46FC">
        <w:rPr>
          <w:rFonts w:ascii="Times New Roman" w:hAnsi="Times New Roman"/>
          <w:b/>
          <w:bCs/>
          <w:sz w:val="24"/>
          <w:szCs w:val="24"/>
        </w:rPr>
        <w:t xml:space="preserve">6.7 </w:t>
      </w:r>
      <w:r w:rsidR="005921EA" w:rsidRPr="005A46FC">
        <w:rPr>
          <w:rFonts w:ascii="Times New Roman" w:hAnsi="Times New Roman"/>
          <w:b/>
          <w:bCs/>
          <w:sz w:val="24"/>
          <w:szCs w:val="24"/>
        </w:rPr>
        <w:t>Условия о</w:t>
      </w:r>
      <w:r w:rsidRPr="005A46FC">
        <w:rPr>
          <w:rFonts w:ascii="Times New Roman" w:hAnsi="Times New Roman"/>
          <w:b/>
          <w:bCs/>
          <w:sz w:val="24"/>
          <w:szCs w:val="24"/>
        </w:rPr>
        <w:t>тпуск</w:t>
      </w:r>
      <w:r w:rsidR="005921EA" w:rsidRPr="005A46FC">
        <w:rPr>
          <w:rFonts w:ascii="Times New Roman" w:hAnsi="Times New Roman"/>
          <w:b/>
          <w:bCs/>
          <w:sz w:val="24"/>
          <w:szCs w:val="24"/>
        </w:rPr>
        <w:t>а</w:t>
      </w:r>
      <w:r w:rsidRPr="005A46FC">
        <w:rPr>
          <w:rFonts w:ascii="Times New Roman" w:hAnsi="Times New Roman"/>
          <w:b/>
          <w:bCs/>
          <w:sz w:val="24"/>
          <w:szCs w:val="24"/>
        </w:rPr>
        <w:t xml:space="preserve"> из аптек</w:t>
      </w:r>
      <w:r w:rsidR="00D041C3" w:rsidRPr="005A46FC">
        <w:rPr>
          <w:rFonts w:ascii="Times New Roman" w:hAnsi="Times New Roman"/>
          <w:b/>
          <w:bCs/>
          <w:sz w:val="24"/>
          <w:szCs w:val="24"/>
        </w:rPr>
        <w:t xml:space="preserve"> </w:t>
      </w:r>
    </w:p>
    <w:p w14:paraId="0A1967DD" w14:textId="77777777" w:rsidR="004200EA" w:rsidRPr="005A46FC" w:rsidRDefault="00724DB0" w:rsidP="0078568D">
      <w:pPr>
        <w:autoSpaceDE w:val="0"/>
        <w:autoSpaceDN w:val="0"/>
        <w:adjustRightInd w:val="0"/>
        <w:spacing w:after="0" w:line="240" w:lineRule="auto"/>
        <w:rPr>
          <w:rFonts w:ascii="Times New Roman" w:hAnsi="Times New Roman"/>
          <w:bCs/>
          <w:sz w:val="24"/>
          <w:szCs w:val="24"/>
        </w:rPr>
      </w:pPr>
      <w:r w:rsidRPr="005A46FC">
        <w:rPr>
          <w:rFonts w:ascii="Times New Roman" w:hAnsi="Times New Roman"/>
          <w:bCs/>
          <w:sz w:val="24"/>
          <w:szCs w:val="24"/>
        </w:rPr>
        <w:t>По рецепту</w:t>
      </w:r>
    </w:p>
    <w:p w14:paraId="0BB24382" w14:textId="77777777" w:rsidR="00D041C3" w:rsidRPr="005A46FC" w:rsidRDefault="00D041C3" w:rsidP="0078568D">
      <w:pPr>
        <w:autoSpaceDE w:val="0"/>
        <w:autoSpaceDN w:val="0"/>
        <w:adjustRightInd w:val="0"/>
        <w:spacing w:after="0" w:line="240" w:lineRule="auto"/>
        <w:rPr>
          <w:rFonts w:ascii="Times New Roman" w:hAnsi="Times New Roman"/>
          <w:b/>
          <w:sz w:val="24"/>
          <w:szCs w:val="24"/>
        </w:rPr>
      </w:pPr>
    </w:p>
    <w:p w14:paraId="50D48ADF" w14:textId="77777777" w:rsidR="00120934" w:rsidRPr="005A46FC" w:rsidRDefault="008407EF" w:rsidP="0078568D">
      <w:pPr>
        <w:autoSpaceDE w:val="0"/>
        <w:autoSpaceDN w:val="0"/>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val="uk-UA" w:eastAsia="ru-RU"/>
        </w:rPr>
        <w:t>7. ДЕРЖАТЕЛЬ</w:t>
      </w:r>
      <w:r w:rsidRPr="005A46FC">
        <w:rPr>
          <w:rFonts w:ascii="Times New Roman" w:eastAsia="Times New Roman" w:hAnsi="Times New Roman"/>
          <w:b/>
          <w:sz w:val="24"/>
          <w:szCs w:val="24"/>
          <w:lang w:eastAsia="ru-RU"/>
        </w:rPr>
        <w:t xml:space="preserve"> РЕГИСТРАЦИОННОГО УДОСТОВЕРЕНИЯ</w:t>
      </w:r>
    </w:p>
    <w:p w14:paraId="04E07325" w14:textId="77777777" w:rsidR="00715A40" w:rsidRPr="005A46FC" w:rsidRDefault="00715A40" w:rsidP="00B842B5">
      <w:pPr>
        <w:autoSpaceDE w:val="0"/>
        <w:autoSpaceDN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val="en-US" w:eastAsia="ru-RU" w:bidi="ru-RU"/>
        </w:rPr>
        <w:t>BDR</w:t>
      </w:r>
      <w:r w:rsidRPr="005A46FC">
        <w:rPr>
          <w:rFonts w:ascii="Times New Roman" w:eastAsia="Microsoft Sans Serif" w:hAnsi="Times New Roman"/>
          <w:sz w:val="24"/>
          <w:szCs w:val="24"/>
          <w:lang w:eastAsia="ru-RU" w:bidi="ru-RU"/>
        </w:rPr>
        <w:t xml:space="preserve"> </w:t>
      </w:r>
      <w:r w:rsidRPr="005A46FC">
        <w:rPr>
          <w:rFonts w:ascii="Times New Roman" w:eastAsia="Microsoft Sans Serif" w:hAnsi="Times New Roman"/>
          <w:sz w:val="24"/>
          <w:szCs w:val="24"/>
          <w:lang w:val="en-US" w:eastAsia="ru-RU" w:bidi="ru-RU"/>
        </w:rPr>
        <w:t>Pharmaceuticals</w:t>
      </w:r>
      <w:r w:rsidRPr="005A46FC">
        <w:rPr>
          <w:rFonts w:ascii="Times New Roman" w:eastAsia="Microsoft Sans Serif" w:hAnsi="Times New Roman"/>
          <w:sz w:val="24"/>
          <w:szCs w:val="24"/>
          <w:lang w:eastAsia="ru-RU" w:bidi="ru-RU"/>
        </w:rPr>
        <w:t xml:space="preserve"> </w:t>
      </w:r>
      <w:r w:rsidRPr="005A46FC">
        <w:rPr>
          <w:rFonts w:ascii="Times New Roman" w:eastAsia="Microsoft Sans Serif" w:hAnsi="Times New Roman"/>
          <w:sz w:val="24"/>
          <w:szCs w:val="24"/>
          <w:lang w:val="en-US" w:eastAsia="ru-RU" w:bidi="ru-RU"/>
        </w:rPr>
        <w:t>International</w:t>
      </w:r>
      <w:r w:rsidRPr="005A46FC">
        <w:rPr>
          <w:rFonts w:ascii="Times New Roman" w:eastAsia="Microsoft Sans Serif" w:hAnsi="Times New Roman"/>
          <w:sz w:val="24"/>
          <w:szCs w:val="24"/>
          <w:lang w:eastAsia="ru-RU" w:bidi="ru-RU"/>
        </w:rPr>
        <w:t xml:space="preserve"> </w:t>
      </w:r>
      <w:r w:rsidRPr="005A46FC">
        <w:rPr>
          <w:rFonts w:ascii="Times New Roman" w:eastAsia="Microsoft Sans Serif" w:hAnsi="Times New Roman"/>
          <w:sz w:val="24"/>
          <w:szCs w:val="24"/>
          <w:lang w:val="en-US" w:eastAsia="ru-RU" w:bidi="ru-RU"/>
        </w:rPr>
        <w:t>Pvt</w:t>
      </w:r>
      <w:r w:rsidRPr="005A46FC">
        <w:rPr>
          <w:rFonts w:ascii="Times New Roman" w:eastAsia="Microsoft Sans Serif" w:hAnsi="Times New Roman"/>
          <w:sz w:val="24"/>
          <w:szCs w:val="24"/>
          <w:lang w:eastAsia="ru-RU" w:bidi="ru-RU"/>
        </w:rPr>
        <w:t xml:space="preserve">. </w:t>
      </w:r>
      <w:r w:rsidRPr="005A46FC">
        <w:rPr>
          <w:rFonts w:ascii="Times New Roman" w:eastAsia="Microsoft Sans Serif" w:hAnsi="Times New Roman"/>
          <w:sz w:val="24"/>
          <w:szCs w:val="24"/>
          <w:lang w:val="en-US" w:eastAsia="ru-RU" w:bidi="ru-RU"/>
        </w:rPr>
        <w:t>Ltd</w:t>
      </w:r>
      <w:r w:rsidRPr="005A46FC">
        <w:rPr>
          <w:rFonts w:ascii="Times New Roman" w:eastAsia="Microsoft Sans Serif" w:hAnsi="Times New Roman"/>
          <w:sz w:val="24"/>
          <w:szCs w:val="24"/>
          <w:lang w:eastAsia="ru-RU" w:bidi="ru-RU"/>
        </w:rPr>
        <w:t>.</w:t>
      </w:r>
    </w:p>
    <w:p w14:paraId="31ADF5A9" w14:textId="77777777" w:rsidR="00B842B5" w:rsidRPr="005A46FC" w:rsidRDefault="00B842B5" w:rsidP="00B842B5">
      <w:pPr>
        <w:autoSpaceDE w:val="0"/>
        <w:autoSpaceDN w:val="0"/>
        <w:spacing w:after="0" w:line="240" w:lineRule="auto"/>
        <w:jc w:val="both"/>
        <w:rPr>
          <w:rFonts w:ascii="Times New Roman" w:eastAsia="Microsoft Sans Serif" w:hAnsi="Times New Roman"/>
          <w:sz w:val="24"/>
          <w:szCs w:val="24"/>
          <w:lang w:val="en-US" w:eastAsia="ru-RU" w:bidi="ru-RU"/>
        </w:rPr>
      </w:pPr>
      <w:r w:rsidRPr="005A46FC">
        <w:rPr>
          <w:rFonts w:ascii="Times New Roman" w:eastAsia="Microsoft Sans Serif" w:hAnsi="Times New Roman"/>
          <w:sz w:val="24"/>
          <w:szCs w:val="24"/>
          <w:lang w:val="en-US" w:eastAsia="ru-RU" w:bidi="ru-RU"/>
        </w:rPr>
        <w:t>R.S. No. 578, Near Effluent Channel Road,</w:t>
      </w:r>
    </w:p>
    <w:p w14:paraId="79B6161A" w14:textId="77777777" w:rsidR="00B842B5" w:rsidRPr="005A46FC" w:rsidRDefault="00B842B5" w:rsidP="00B842B5">
      <w:pPr>
        <w:autoSpaceDE w:val="0"/>
        <w:autoSpaceDN w:val="0"/>
        <w:spacing w:after="0" w:line="240" w:lineRule="auto"/>
        <w:jc w:val="both"/>
        <w:rPr>
          <w:rFonts w:ascii="Times New Roman" w:eastAsia="Microsoft Sans Serif" w:hAnsi="Times New Roman"/>
          <w:sz w:val="24"/>
          <w:szCs w:val="24"/>
          <w:lang w:val="en-US" w:eastAsia="ru-RU" w:bidi="ru-RU"/>
        </w:rPr>
      </w:pPr>
      <w:r w:rsidRPr="005A46FC">
        <w:rPr>
          <w:rFonts w:ascii="Times New Roman" w:eastAsia="Microsoft Sans Serif" w:hAnsi="Times New Roman"/>
          <w:sz w:val="24"/>
          <w:szCs w:val="24"/>
          <w:lang w:val="en-US" w:eastAsia="ru-RU" w:bidi="ru-RU"/>
        </w:rPr>
        <w:t>Village Luna, Taluka Padra,</w:t>
      </w:r>
    </w:p>
    <w:p w14:paraId="597AEF1C" w14:textId="77777777" w:rsidR="00215CBB" w:rsidRPr="005A46FC" w:rsidRDefault="00B842B5" w:rsidP="00B842B5">
      <w:pPr>
        <w:autoSpaceDE w:val="0"/>
        <w:autoSpaceDN w:val="0"/>
        <w:spacing w:after="0" w:line="240" w:lineRule="auto"/>
        <w:jc w:val="both"/>
        <w:rPr>
          <w:rFonts w:ascii="Times New Roman" w:eastAsia="Microsoft Sans Serif" w:hAnsi="Times New Roman"/>
          <w:sz w:val="24"/>
          <w:szCs w:val="24"/>
          <w:lang w:val="en-US" w:eastAsia="ru-RU" w:bidi="ru-RU"/>
        </w:rPr>
      </w:pPr>
      <w:r w:rsidRPr="005A46FC">
        <w:rPr>
          <w:rFonts w:ascii="Times New Roman" w:eastAsia="Microsoft Sans Serif" w:hAnsi="Times New Roman"/>
          <w:sz w:val="24"/>
          <w:szCs w:val="24"/>
          <w:lang w:val="en-US" w:eastAsia="ru-RU" w:bidi="ru-RU"/>
        </w:rPr>
        <w:t>District Vadodara/</w:t>
      </w:r>
      <w:r w:rsidRPr="005A46FC">
        <w:rPr>
          <w:rFonts w:ascii="Times New Roman" w:eastAsia="Microsoft Sans Serif" w:hAnsi="Times New Roman"/>
          <w:sz w:val="24"/>
          <w:szCs w:val="24"/>
          <w:lang w:eastAsia="ru-RU" w:bidi="ru-RU"/>
        </w:rPr>
        <w:t>Вадодара</w:t>
      </w:r>
      <w:r w:rsidRPr="005A46FC">
        <w:rPr>
          <w:rFonts w:ascii="Times New Roman" w:eastAsia="Microsoft Sans Serif" w:hAnsi="Times New Roman"/>
          <w:sz w:val="24"/>
          <w:szCs w:val="24"/>
          <w:lang w:val="en-US" w:eastAsia="ru-RU" w:bidi="ru-RU"/>
        </w:rPr>
        <w:t xml:space="preserve"> - 391 440, Gujarat, </w:t>
      </w:r>
      <w:r w:rsidRPr="005A46FC">
        <w:rPr>
          <w:rFonts w:ascii="Times New Roman" w:eastAsia="Microsoft Sans Serif" w:hAnsi="Times New Roman"/>
          <w:sz w:val="24"/>
          <w:szCs w:val="24"/>
          <w:lang w:eastAsia="ru-RU" w:bidi="ru-RU"/>
        </w:rPr>
        <w:t>Индия</w:t>
      </w:r>
    </w:p>
    <w:p w14:paraId="5C33F530" w14:textId="77777777" w:rsidR="00811031" w:rsidRPr="005A46FC" w:rsidRDefault="00811031" w:rsidP="00B842B5">
      <w:pPr>
        <w:autoSpaceDE w:val="0"/>
        <w:autoSpaceDN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eastAsia="ru-RU" w:bidi="ru-RU"/>
        </w:rPr>
        <w:t>Тел: + 91 – 22 – 4056 0560, факс: + 91 – 22 – 4056 0555</w:t>
      </w:r>
    </w:p>
    <w:p w14:paraId="5052217B" w14:textId="77777777" w:rsidR="00B842B5" w:rsidRPr="005A46FC" w:rsidRDefault="00811031" w:rsidP="00B842B5">
      <w:pPr>
        <w:autoSpaceDE w:val="0"/>
        <w:autoSpaceDN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val="en-US" w:eastAsia="ru-RU" w:bidi="ru-RU"/>
        </w:rPr>
        <w:t>e</w:t>
      </w:r>
      <w:r w:rsidRPr="005A46FC">
        <w:rPr>
          <w:rFonts w:ascii="Times New Roman" w:eastAsia="Microsoft Sans Serif" w:hAnsi="Times New Roman"/>
          <w:sz w:val="24"/>
          <w:szCs w:val="24"/>
          <w:lang w:eastAsia="ru-RU" w:bidi="ru-RU"/>
        </w:rPr>
        <w:t>-</w:t>
      </w:r>
      <w:r w:rsidRPr="005A46FC">
        <w:rPr>
          <w:rFonts w:ascii="Times New Roman" w:eastAsia="Microsoft Sans Serif" w:hAnsi="Times New Roman"/>
          <w:sz w:val="24"/>
          <w:szCs w:val="24"/>
          <w:lang w:val="en-US" w:eastAsia="ru-RU" w:bidi="ru-RU"/>
        </w:rPr>
        <w:t>mail</w:t>
      </w:r>
      <w:r w:rsidRPr="005A46FC">
        <w:rPr>
          <w:rFonts w:ascii="Times New Roman" w:eastAsia="Microsoft Sans Serif" w:hAnsi="Times New Roman"/>
          <w:sz w:val="24"/>
          <w:szCs w:val="24"/>
          <w:lang w:eastAsia="ru-RU" w:bidi="ru-RU"/>
        </w:rPr>
        <w:t xml:space="preserve">: </w:t>
      </w:r>
      <w:hyperlink r:id="rId13" w:history="1">
        <w:r w:rsidRPr="005A46FC">
          <w:rPr>
            <w:rStyle w:val="ae"/>
            <w:rFonts w:ascii="Times New Roman" w:eastAsia="Microsoft Sans Serif" w:hAnsi="Times New Roman"/>
            <w:sz w:val="24"/>
            <w:szCs w:val="24"/>
            <w:lang w:val="en-US" w:eastAsia="ru-RU" w:bidi="ru-RU"/>
          </w:rPr>
          <w:t>bdrpharma</w:t>
        </w:r>
        <w:r w:rsidRPr="005A46FC">
          <w:rPr>
            <w:rStyle w:val="ae"/>
            <w:rFonts w:ascii="Times New Roman" w:eastAsia="Microsoft Sans Serif" w:hAnsi="Times New Roman"/>
            <w:sz w:val="24"/>
            <w:szCs w:val="24"/>
            <w:lang w:eastAsia="ru-RU" w:bidi="ru-RU"/>
          </w:rPr>
          <w:t>@</w:t>
        </w:r>
        <w:r w:rsidRPr="005A46FC">
          <w:rPr>
            <w:rStyle w:val="ae"/>
            <w:rFonts w:ascii="Times New Roman" w:eastAsia="Microsoft Sans Serif" w:hAnsi="Times New Roman"/>
            <w:sz w:val="24"/>
            <w:szCs w:val="24"/>
            <w:lang w:val="en-US" w:eastAsia="ru-RU" w:bidi="ru-RU"/>
          </w:rPr>
          <w:t>vsnl</w:t>
        </w:r>
        <w:r w:rsidRPr="005A46FC">
          <w:rPr>
            <w:rStyle w:val="ae"/>
            <w:rFonts w:ascii="Times New Roman" w:eastAsia="Microsoft Sans Serif" w:hAnsi="Times New Roman"/>
            <w:sz w:val="24"/>
            <w:szCs w:val="24"/>
            <w:lang w:eastAsia="ru-RU" w:bidi="ru-RU"/>
          </w:rPr>
          <w:t>.</w:t>
        </w:r>
        <w:r w:rsidRPr="005A46FC">
          <w:rPr>
            <w:rStyle w:val="ae"/>
            <w:rFonts w:ascii="Times New Roman" w:eastAsia="Microsoft Sans Serif" w:hAnsi="Times New Roman"/>
            <w:sz w:val="24"/>
            <w:szCs w:val="24"/>
            <w:lang w:val="en-US" w:eastAsia="ru-RU" w:bidi="ru-RU"/>
          </w:rPr>
          <w:t>com</w:t>
        </w:r>
      </w:hyperlink>
    </w:p>
    <w:p w14:paraId="79DB4CDD" w14:textId="77777777" w:rsidR="00811031" w:rsidRPr="005A46FC" w:rsidRDefault="00811031" w:rsidP="00B842B5">
      <w:pPr>
        <w:autoSpaceDE w:val="0"/>
        <w:autoSpaceDN w:val="0"/>
        <w:spacing w:after="0" w:line="240" w:lineRule="auto"/>
        <w:jc w:val="both"/>
        <w:rPr>
          <w:rFonts w:ascii="Times New Roman" w:eastAsia="Times New Roman" w:hAnsi="Times New Roman"/>
          <w:b/>
          <w:sz w:val="24"/>
          <w:szCs w:val="24"/>
          <w:lang w:eastAsia="ru-RU"/>
        </w:rPr>
      </w:pPr>
    </w:p>
    <w:p w14:paraId="6D20AAAD" w14:textId="77777777" w:rsidR="00593F7B" w:rsidRPr="005A46FC" w:rsidRDefault="00515826" w:rsidP="0078568D">
      <w:pPr>
        <w:autoSpaceDE w:val="0"/>
        <w:autoSpaceDN w:val="0"/>
        <w:spacing w:after="0" w:line="240" w:lineRule="auto"/>
        <w:jc w:val="both"/>
        <w:rPr>
          <w:rFonts w:ascii="Times New Roman" w:eastAsia="Times New Roman" w:hAnsi="Times New Roman"/>
          <w:b/>
          <w:sz w:val="24"/>
          <w:szCs w:val="24"/>
          <w:lang w:val="uk-UA" w:eastAsia="ru-RU"/>
        </w:rPr>
      </w:pPr>
      <w:r w:rsidRPr="005A46FC">
        <w:rPr>
          <w:rFonts w:ascii="Times New Roman" w:eastAsia="Times New Roman" w:hAnsi="Times New Roman"/>
          <w:b/>
          <w:sz w:val="24"/>
          <w:szCs w:val="24"/>
          <w:lang w:val="uk-UA" w:eastAsia="ru-RU"/>
        </w:rPr>
        <w:t>7.1</w:t>
      </w:r>
      <w:r w:rsidR="00593F7B" w:rsidRPr="005A46FC">
        <w:rPr>
          <w:rFonts w:ascii="Times New Roman" w:eastAsia="Times New Roman" w:hAnsi="Times New Roman"/>
          <w:b/>
          <w:sz w:val="24"/>
          <w:szCs w:val="24"/>
          <w:lang w:val="uk-UA" w:eastAsia="ru-RU"/>
        </w:rPr>
        <w:t xml:space="preserve"> ПРЕДСТАВИТЕЛЬ ДЕРЖАТЕЛЯ РЕГИСТРАЦИОННОГО УДОСТОВЕРЕНИЯ</w:t>
      </w:r>
    </w:p>
    <w:p w14:paraId="19409A5F" w14:textId="77777777" w:rsidR="00593F7B" w:rsidRPr="005A46FC" w:rsidRDefault="00593F7B" w:rsidP="0078568D">
      <w:pPr>
        <w:pStyle w:val="Style5"/>
        <w:widowControl/>
        <w:tabs>
          <w:tab w:val="left" w:pos="7371"/>
        </w:tabs>
        <w:spacing w:line="240" w:lineRule="auto"/>
        <w:rPr>
          <w:rFonts w:eastAsia="Microsoft Sans Serif"/>
          <w:lang w:bidi="ru-RU"/>
        </w:rPr>
      </w:pPr>
      <w:r w:rsidRPr="005A46FC">
        <w:rPr>
          <w:rFonts w:eastAsia="Microsoft Sans Serif"/>
          <w:lang w:bidi="ru-RU"/>
        </w:rPr>
        <w:t>Претензии потребителей направлять по адресу:</w:t>
      </w:r>
    </w:p>
    <w:p w14:paraId="5E6EFB29" w14:textId="77777777" w:rsidR="00B842B5" w:rsidRPr="005A46FC" w:rsidRDefault="00B842B5" w:rsidP="00B842B5">
      <w:pPr>
        <w:autoSpaceDE w:val="0"/>
        <w:autoSpaceDN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eastAsia="ru-RU" w:bidi="ru-RU"/>
        </w:rPr>
        <w:t>ТОО «</w:t>
      </w:r>
      <w:r w:rsidRPr="005A46FC">
        <w:rPr>
          <w:rFonts w:ascii="Times New Roman" w:eastAsia="Microsoft Sans Serif" w:hAnsi="Times New Roman"/>
          <w:sz w:val="24"/>
          <w:szCs w:val="24"/>
          <w:lang w:val="en-US" w:eastAsia="ru-RU" w:bidi="ru-RU"/>
        </w:rPr>
        <w:t>Rogers</w:t>
      </w:r>
      <w:r w:rsidRPr="005A46FC">
        <w:rPr>
          <w:rFonts w:ascii="Times New Roman" w:eastAsia="Microsoft Sans Serif" w:hAnsi="Times New Roman"/>
          <w:sz w:val="24"/>
          <w:szCs w:val="24"/>
          <w:lang w:eastAsia="ru-RU" w:bidi="ru-RU"/>
        </w:rPr>
        <w:t xml:space="preserve"> </w:t>
      </w:r>
      <w:r w:rsidRPr="005A46FC">
        <w:rPr>
          <w:rFonts w:ascii="Times New Roman" w:eastAsia="Microsoft Sans Serif" w:hAnsi="Times New Roman"/>
          <w:sz w:val="24"/>
          <w:szCs w:val="24"/>
          <w:lang w:val="en-US" w:eastAsia="ru-RU" w:bidi="ru-RU"/>
        </w:rPr>
        <w:t>Pharma</w:t>
      </w:r>
      <w:r w:rsidRPr="005A46FC">
        <w:rPr>
          <w:rFonts w:ascii="Times New Roman" w:eastAsia="Microsoft Sans Serif" w:hAnsi="Times New Roman"/>
          <w:sz w:val="24"/>
          <w:szCs w:val="24"/>
          <w:lang w:eastAsia="ru-RU" w:bidi="ru-RU"/>
        </w:rPr>
        <w:t>»</w:t>
      </w:r>
      <w:r w:rsidR="0041359A" w:rsidRPr="005A46FC">
        <w:rPr>
          <w:rFonts w:ascii="Times New Roman" w:eastAsia="Microsoft Sans Serif" w:hAnsi="Times New Roman"/>
          <w:sz w:val="24"/>
          <w:szCs w:val="24"/>
          <w:lang w:eastAsia="ru-RU" w:bidi="ru-RU"/>
        </w:rPr>
        <w:t>, Казахстан</w:t>
      </w:r>
    </w:p>
    <w:p w14:paraId="62A64D20" w14:textId="77777777" w:rsidR="00B842B5" w:rsidRPr="005A46FC" w:rsidRDefault="00B842B5" w:rsidP="00B842B5">
      <w:pPr>
        <w:autoSpaceDE w:val="0"/>
        <w:autoSpaceDN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eastAsia="ru-RU" w:bidi="ru-RU"/>
        </w:rPr>
        <w:t>050043, г. Алматы, мкн. Мирас, 157, блок 2, н.п. 819,</w:t>
      </w:r>
    </w:p>
    <w:p w14:paraId="20E9C0C9" w14:textId="77777777" w:rsidR="00215CBB" w:rsidRPr="005A46FC" w:rsidRDefault="00B842B5" w:rsidP="00B842B5">
      <w:pPr>
        <w:autoSpaceDE w:val="0"/>
        <w:autoSpaceDN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eastAsia="ru-RU" w:bidi="ru-RU"/>
        </w:rPr>
        <w:t xml:space="preserve">Тел.: +7 (727) 311-81-96/97, </w:t>
      </w:r>
      <w:r w:rsidRPr="005A46FC">
        <w:rPr>
          <w:rFonts w:ascii="Times New Roman" w:eastAsia="Microsoft Sans Serif" w:hAnsi="Times New Roman"/>
          <w:sz w:val="24"/>
          <w:szCs w:val="24"/>
          <w:lang w:val="en-US" w:eastAsia="ru-RU" w:bidi="ru-RU"/>
        </w:rPr>
        <w:t>e</w:t>
      </w:r>
      <w:r w:rsidRPr="005A46FC">
        <w:rPr>
          <w:rFonts w:ascii="Times New Roman" w:eastAsia="Microsoft Sans Serif" w:hAnsi="Times New Roman"/>
          <w:sz w:val="24"/>
          <w:szCs w:val="24"/>
          <w:lang w:eastAsia="ru-RU" w:bidi="ru-RU"/>
        </w:rPr>
        <w:t>-</w:t>
      </w:r>
      <w:r w:rsidRPr="005A46FC">
        <w:rPr>
          <w:rFonts w:ascii="Times New Roman" w:eastAsia="Microsoft Sans Serif" w:hAnsi="Times New Roman"/>
          <w:sz w:val="24"/>
          <w:szCs w:val="24"/>
          <w:lang w:val="en-US" w:eastAsia="ru-RU" w:bidi="ru-RU"/>
        </w:rPr>
        <w:t>mail</w:t>
      </w:r>
      <w:r w:rsidRPr="005A46FC">
        <w:rPr>
          <w:rFonts w:ascii="Times New Roman" w:eastAsia="Microsoft Sans Serif" w:hAnsi="Times New Roman"/>
          <w:sz w:val="24"/>
          <w:szCs w:val="24"/>
          <w:lang w:eastAsia="ru-RU" w:bidi="ru-RU"/>
        </w:rPr>
        <w:t xml:space="preserve">: </w:t>
      </w:r>
      <w:hyperlink r:id="rId14" w:history="1">
        <w:r w:rsidRPr="005A46FC">
          <w:rPr>
            <w:rStyle w:val="ae"/>
            <w:rFonts w:ascii="Times New Roman" w:eastAsia="Microsoft Sans Serif" w:hAnsi="Times New Roman"/>
            <w:sz w:val="24"/>
            <w:szCs w:val="24"/>
            <w:lang w:val="en-US" w:eastAsia="ru-RU" w:bidi="ru-RU"/>
          </w:rPr>
          <w:t>office</w:t>
        </w:r>
        <w:r w:rsidRPr="005A46FC">
          <w:rPr>
            <w:rStyle w:val="ae"/>
            <w:rFonts w:ascii="Times New Roman" w:eastAsia="Microsoft Sans Serif" w:hAnsi="Times New Roman"/>
            <w:sz w:val="24"/>
            <w:szCs w:val="24"/>
            <w:lang w:eastAsia="ru-RU" w:bidi="ru-RU"/>
          </w:rPr>
          <w:t>.</w:t>
        </w:r>
        <w:r w:rsidRPr="005A46FC">
          <w:rPr>
            <w:rStyle w:val="ae"/>
            <w:rFonts w:ascii="Times New Roman" w:eastAsia="Microsoft Sans Serif" w:hAnsi="Times New Roman"/>
            <w:sz w:val="24"/>
            <w:szCs w:val="24"/>
            <w:lang w:val="en-US" w:eastAsia="ru-RU" w:bidi="ru-RU"/>
          </w:rPr>
          <w:t>secretary</w:t>
        </w:r>
        <w:r w:rsidRPr="005A46FC">
          <w:rPr>
            <w:rStyle w:val="ae"/>
            <w:rFonts w:ascii="Times New Roman" w:eastAsia="Microsoft Sans Serif" w:hAnsi="Times New Roman"/>
            <w:sz w:val="24"/>
            <w:szCs w:val="24"/>
            <w:lang w:eastAsia="ru-RU" w:bidi="ru-RU"/>
          </w:rPr>
          <w:t>@</w:t>
        </w:r>
        <w:r w:rsidRPr="005A46FC">
          <w:rPr>
            <w:rStyle w:val="ae"/>
            <w:rFonts w:ascii="Times New Roman" w:eastAsia="Microsoft Sans Serif" w:hAnsi="Times New Roman"/>
            <w:sz w:val="24"/>
            <w:szCs w:val="24"/>
            <w:lang w:val="en-US" w:eastAsia="ru-RU" w:bidi="ru-RU"/>
          </w:rPr>
          <w:t>rogersgroup</w:t>
        </w:r>
        <w:r w:rsidRPr="005A46FC">
          <w:rPr>
            <w:rStyle w:val="ae"/>
            <w:rFonts w:ascii="Times New Roman" w:eastAsia="Microsoft Sans Serif" w:hAnsi="Times New Roman"/>
            <w:sz w:val="24"/>
            <w:szCs w:val="24"/>
            <w:lang w:eastAsia="ru-RU" w:bidi="ru-RU"/>
          </w:rPr>
          <w:t>.</w:t>
        </w:r>
        <w:r w:rsidRPr="005A46FC">
          <w:rPr>
            <w:rStyle w:val="ae"/>
            <w:rFonts w:ascii="Times New Roman" w:eastAsia="Microsoft Sans Serif" w:hAnsi="Times New Roman"/>
            <w:sz w:val="24"/>
            <w:szCs w:val="24"/>
            <w:lang w:val="en-US" w:eastAsia="ru-RU" w:bidi="ru-RU"/>
          </w:rPr>
          <w:t>in</w:t>
        </w:r>
      </w:hyperlink>
    </w:p>
    <w:p w14:paraId="429591AC" w14:textId="77777777" w:rsidR="00B842B5" w:rsidRPr="005A46FC" w:rsidRDefault="00B842B5" w:rsidP="00B842B5">
      <w:pPr>
        <w:autoSpaceDE w:val="0"/>
        <w:autoSpaceDN w:val="0"/>
        <w:spacing w:after="0" w:line="240" w:lineRule="auto"/>
        <w:jc w:val="both"/>
        <w:rPr>
          <w:rFonts w:ascii="Times New Roman" w:eastAsia="Times New Roman" w:hAnsi="Times New Roman"/>
          <w:b/>
          <w:sz w:val="24"/>
          <w:szCs w:val="24"/>
          <w:lang w:eastAsia="ru-RU"/>
        </w:rPr>
      </w:pPr>
    </w:p>
    <w:p w14:paraId="7F02453A" w14:textId="77777777" w:rsidR="002511DF" w:rsidRPr="005A46FC" w:rsidRDefault="002511DF" w:rsidP="0078568D">
      <w:pPr>
        <w:autoSpaceDE w:val="0"/>
        <w:autoSpaceDN w:val="0"/>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val="uk-UA" w:eastAsia="ru-RU"/>
        </w:rPr>
        <w:t xml:space="preserve">8. </w:t>
      </w:r>
      <w:r w:rsidRPr="005A46FC">
        <w:rPr>
          <w:rFonts w:ascii="Times New Roman" w:eastAsia="Times New Roman" w:hAnsi="Times New Roman" w:hint="eastAsia"/>
          <w:b/>
          <w:sz w:val="24"/>
          <w:szCs w:val="24"/>
          <w:lang w:val="uk-UA" w:eastAsia="ru-RU"/>
        </w:rPr>
        <w:t>НОМЕР</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РЕГИСТРАЦИОННОГО</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УДОСТОВЕРЕНИЯ</w:t>
      </w:r>
    </w:p>
    <w:p w14:paraId="1526C8CB" w14:textId="77777777" w:rsidR="00215CBB" w:rsidRPr="005A46FC" w:rsidRDefault="00215CBB" w:rsidP="0078568D">
      <w:pPr>
        <w:autoSpaceDE w:val="0"/>
        <w:autoSpaceDN w:val="0"/>
        <w:spacing w:after="0" w:line="240" w:lineRule="auto"/>
        <w:jc w:val="both"/>
        <w:rPr>
          <w:rFonts w:ascii="Times New Roman" w:eastAsia="Times New Roman" w:hAnsi="Times New Roman"/>
          <w:b/>
          <w:sz w:val="24"/>
          <w:szCs w:val="24"/>
          <w:lang w:val="uk-UA" w:eastAsia="ru-RU"/>
        </w:rPr>
      </w:pPr>
    </w:p>
    <w:p w14:paraId="0BF1DE01" w14:textId="77777777" w:rsidR="002511DF" w:rsidRPr="005A46FC"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5A46FC">
        <w:rPr>
          <w:rFonts w:ascii="Times New Roman" w:eastAsia="Times New Roman" w:hAnsi="Times New Roman"/>
          <w:b/>
          <w:sz w:val="24"/>
          <w:szCs w:val="24"/>
          <w:lang w:val="uk-UA" w:eastAsia="ru-RU"/>
        </w:rPr>
        <w:t xml:space="preserve">9. </w:t>
      </w:r>
      <w:r w:rsidRPr="005A46FC">
        <w:rPr>
          <w:rFonts w:ascii="Times New Roman" w:eastAsia="Times New Roman" w:hAnsi="Times New Roman" w:hint="eastAsia"/>
          <w:b/>
          <w:sz w:val="24"/>
          <w:szCs w:val="24"/>
          <w:lang w:val="uk-UA" w:eastAsia="ru-RU"/>
        </w:rPr>
        <w:t>ДАТА</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ПЕРВИЧНОЙ</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РЕГИСТРАЦИИ</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ПОДТВЕРЖДЕНИЯ</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РЕГИСТРАЦИИ</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ПЕРЕРЕГИСТРАЦИИ</w:t>
      </w:r>
      <w:r w:rsidRPr="005A46FC">
        <w:rPr>
          <w:rFonts w:ascii="Times New Roman" w:eastAsia="Times New Roman" w:hAnsi="Times New Roman"/>
          <w:b/>
          <w:sz w:val="24"/>
          <w:szCs w:val="24"/>
          <w:lang w:val="uk-UA" w:eastAsia="ru-RU"/>
        </w:rPr>
        <w:t>)</w:t>
      </w:r>
    </w:p>
    <w:p w14:paraId="58DE8010" w14:textId="77777777" w:rsidR="00B91443" w:rsidRPr="005A46FC" w:rsidRDefault="00B91443" w:rsidP="0078568D">
      <w:pPr>
        <w:pStyle w:val="Style5"/>
        <w:widowControl/>
        <w:tabs>
          <w:tab w:val="left" w:pos="7371"/>
        </w:tabs>
        <w:spacing w:line="240" w:lineRule="auto"/>
        <w:rPr>
          <w:rFonts w:eastAsia="Microsoft Sans Serif"/>
          <w:lang w:bidi="ru-RU"/>
        </w:rPr>
      </w:pPr>
    </w:p>
    <w:p w14:paraId="6AE3CC63" w14:textId="77777777" w:rsidR="00DF47EB" w:rsidRPr="005A46FC" w:rsidRDefault="00DF47EB" w:rsidP="00B91443">
      <w:pPr>
        <w:spacing w:after="0" w:line="240" w:lineRule="auto"/>
        <w:jc w:val="both"/>
        <w:rPr>
          <w:rFonts w:ascii="Times New Roman" w:hAnsi="Times New Roman"/>
          <w:b/>
          <w:caps/>
          <w:sz w:val="24"/>
          <w:szCs w:val="24"/>
        </w:rPr>
      </w:pPr>
      <w:r w:rsidRPr="005A46FC">
        <w:rPr>
          <w:rFonts w:ascii="Times New Roman" w:hAnsi="Times New Roman"/>
          <w:b/>
          <w:sz w:val="24"/>
          <w:szCs w:val="24"/>
        </w:rPr>
        <w:t xml:space="preserve">10. </w:t>
      </w:r>
      <w:r w:rsidRPr="005A46FC">
        <w:rPr>
          <w:rFonts w:ascii="Times New Roman" w:hAnsi="Times New Roman"/>
          <w:b/>
          <w:caps/>
          <w:sz w:val="24"/>
          <w:szCs w:val="24"/>
        </w:rPr>
        <w:t xml:space="preserve">Дата пересмотра текста </w:t>
      </w:r>
    </w:p>
    <w:p w14:paraId="4024E55B" w14:textId="77777777" w:rsidR="00B842B5" w:rsidRPr="005A46FC" w:rsidRDefault="00B842B5" w:rsidP="00B91443">
      <w:pPr>
        <w:spacing w:after="0" w:line="240" w:lineRule="auto"/>
        <w:jc w:val="both"/>
        <w:rPr>
          <w:rFonts w:ascii="Times New Roman" w:hAnsi="Times New Roman"/>
          <w:b/>
          <w:caps/>
          <w:sz w:val="24"/>
          <w:szCs w:val="24"/>
        </w:rPr>
      </w:pPr>
    </w:p>
    <w:p w14:paraId="627FA368" w14:textId="77777777" w:rsidR="00B91443" w:rsidRPr="00387A7E" w:rsidRDefault="00B91443" w:rsidP="00724DB0">
      <w:pPr>
        <w:spacing w:after="0" w:line="240" w:lineRule="auto"/>
        <w:jc w:val="both"/>
        <w:rPr>
          <w:rFonts w:eastAsia="Microsoft Sans Serif"/>
          <w:sz w:val="24"/>
          <w:szCs w:val="24"/>
          <w:lang w:bidi="ru-RU"/>
        </w:rPr>
      </w:pPr>
      <w:r w:rsidRPr="005A46FC">
        <w:rPr>
          <w:rFonts w:ascii="Times New Roman" w:eastAsia="TimesNewRomanPSMT" w:hAnsi="Times New Roman"/>
          <w:sz w:val="24"/>
          <w:szCs w:val="24"/>
          <w:lang w:eastAsia="ru-RU"/>
        </w:rPr>
        <w:t xml:space="preserve">Общая характеристика лекарственного препарата доступна на официальном сайте </w:t>
      </w:r>
      <w:hyperlink r:id="rId15" w:history="1">
        <w:r w:rsidRPr="005A46FC">
          <w:rPr>
            <w:rStyle w:val="ae"/>
            <w:rFonts w:ascii="Times New Roman" w:hAnsi="Times New Roman"/>
            <w:sz w:val="24"/>
            <w:szCs w:val="24"/>
            <w:lang w:val="en-US"/>
          </w:rPr>
          <w:t>http</w:t>
        </w:r>
        <w:r w:rsidRPr="005A46FC">
          <w:rPr>
            <w:rStyle w:val="ae"/>
            <w:rFonts w:ascii="Times New Roman" w:hAnsi="Times New Roman"/>
            <w:sz w:val="24"/>
            <w:szCs w:val="24"/>
          </w:rPr>
          <w:t>://</w:t>
        </w:r>
        <w:r w:rsidRPr="005A46FC">
          <w:rPr>
            <w:rStyle w:val="ae"/>
            <w:rFonts w:ascii="Times New Roman" w:hAnsi="Times New Roman"/>
            <w:sz w:val="24"/>
            <w:szCs w:val="24"/>
            <w:lang w:val="en-US"/>
          </w:rPr>
          <w:t>www</w:t>
        </w:r>
        <w:r w:rsidRPr="005A46FC">
          <w:rPr>
            <w:rStyle w:val="ae"/>
            <w:rFonts w:ascii="Times New Roman" w:hAnsi="Times New Roman"/>
            <w:sz w:val="24"/>
            <w:szCs w:val="24"/>
          </w:rPr>
          <w:t>.</w:t>
        </w:r>
        <w:r w:rsidRPr="005A46FC">
          <w:rPr>
            <w:rStyle w:val="ae"/>
            <w:rFonts w:ascii="Times New Roman" w:hAnsi="Times New Roman"/>
            <w:sz w:val="24"/>
            <w:szCs w:val="24"/>
            <w:lang w:val="en-US"/>
          </w:rPr>
          <w:t>ndda</w:t>
        </w:r>
        <w:r w:rsidRPr="005A46FC">
          <w:rPr>
            <w:rStyle w:val="ae"/>
            <w:rFonts w:ascii="Times New Roman" w:hAnsi="Times New Roman"/>
            <w:sz w:val="24"/>
            <w:szCs w:val="24"/>
          </w:rPr>
          <w:t>.</w:t>
        </w:r>
        <w:r w:rsidRPr="005A46FC">
          <w:rPr>
            <w:rStyle w:val="ae"/>
            <w:rFonts w:ascii="Times New Roman" w:hAnsi="Times New Roman"/>
            <w:sz w:val="24"/>
            <w:szCs w:val="24"/>
            <w:lang w:val="en-US"/>
          </w:rPr>
          <w:t>kz</w:t>
        </w:r>
      </w:hyperlink>
      <w:r w:rsidRPr="00387A7E">
        <w:rPr>
          <w:rFonts w:ascii="Times New Roman" w:hAnsi="Times New Roman"/>
          <w:sz w:val="24"/>
          <w:szCs w:val="24"/>
        </w:rPr>
        <w:t xml:space="preserve"> </w:t>
      </w:r>
    </w:p>
    <w:sectPr w:rsidR="00B91443" w:rsidRPr="00387A7E" w:rsidSect="00F97B57">
      <w:head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3AFA2" w14:textId="77777777" w:rsidR="006063F8" w:rsidRDefault="006063F8" w:rsidP="00D275FC">
      <w:pPr>
        <w:spacing w:after="0" w:line="240" w:lineRule="auto"/>
      </w:pPr>
      <w:r>
        <w:separator/>
      </w:r>
    </w:p>
  </w:endnote>
  <w:endnote w:type="continuationSeparator" w:id="0">
    <w:p w14:paraId="23A594D5" w14:textId="77777777" w:rsidR="006063F8" w:rsidRDefault="006063F8"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5658" w14:textId="77777777" w:rsidR="006063F8" w:rsidRDefault="006063F8" w:rsidP="00D275FC">
      <w:pPr>
        <w:spacing w:after="0" w:line="240" w:lineRule="auto"/>
      </w:pPr>
      <w:r>
        <w:separator/>
      </w:r>
    </w:p>
  </w:footnote>
  <w:footnote w:type="continuationSeparator" w:id="0">
    <w:p w14:paraId="26A4893B" w14:textId="77777777" w:rsidR="006063F8" w:rsidRDefault="006063F8"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C7E5" w14:textId="77777777" w:rsidR="00D275FC" w:rsidRDefault="000B2474">
    <w:pPr>
      <w:pStyle w:val="af0"/>
    </w:pPr>
    <w:r>
      <w:rPr>
        <w:noProof/>
        <w:lang w:eastAsia="ru-RU"/>
      </w:rPr>
      <mc:AlternateContent>
        <mc:Choice Requires="wps">
          <w:drawing>
            <wp:anchor distT="0" distB="0" distL="114300" distR="114300" simplePos="0" relativeHeight="251657728" behindDoc="0" locked="0" layoutInCell="1" allowOverlap="1" wp14:anchorId="77EB89DF" wp14:editId="22152FD7">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143F351"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EB89DF" id="_x0000_t202" coordsize="21600,21600" o:spt="202" path="m,l,21600r21600,l21600,xe">
              <v:stroke joinstyle="miter"/>
              <v:path gradientshapeok="t" o:connecttype="rect"/>
            </v:shapetype>
            <v:shape id="Поле 2" o:spid="_x0000_s1042"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4143F351"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3871"/>
    <w:rsid w:val="00004ADE"/>
    <w:rsid w:val="00004C99"/>
    <w:rsid w:val="00005A3D"/>
    <w:rsid w:val="00010371"/>
    <w:rsid w:val="00010A93"/>
    <w:rsid w:val="0002049D"/>
    <w:rsid w:val="00023BF0"/>
    <w:rsid w:val="000264BB"/>
    <w:rsid w:val="00026A9C"/>
    <w:rsid w:val="00030640"/>
    <w:rsid w:val="00033FC1"/>
    <w:rsid w:val="00042999"/>
    <w:rsid w:val="000463D5"/>
    <w:rsid w:val="0005238D"/>
    <w:rsid w:val="00066B70"/>
    <w:rsid w:val="00074AAE"/>
    <w:rsid w:val="00077A41"/>
    <w:rsid w:val="00081294"/>
    <w:rsid w:val="000852A1"/>
    <w:rsid w:val="000972E6"/>
    <w:rsid w:val="000A0D71"/>
    <w:rsid w:val="000A15B0"/>
    <w:rsid w:val="000A272B"/>
    <w:rsid w:val="000B2474"/>
    <w:rsid w:val="000C2C4B"/>
    <w:rsid w:val="000C3EBE"/>
    <w:rsid w:val="000C4C48"/>
    <w:rsid w:val="000D184E"/>
    <w:rsid w:val="000D457D"/>
    <w:rsid w:val="000E01AB"/>
    <w:rsid w:val="000E14EE"/>
    <w:rsid w:val="000E153C"/>
    <w:rsid w:val="000E3634"/>
    <w:rsid w:val="000E49F0"/>
    <w:rsid w:val="000E6126"/>
    <w:rsid w:val="00100406"/>
    <w:rsid w:val="00102F0D"/>
    <w:rsid w:val="00107A8A"/>
    <w:rsid w:val="00107EDB"/>
    <w:rsid w:val="00111788"/>
    <w:rsid w:val="00120934"/>
    <w:rsid w:val="00123DB5"/>
    <w:rsid w:val="00125232"/>
    <w:rsid w:val="00132B9A"/>
    <w:rsid w:val="001368AE"/>
    <w:rsid w:val="00144CCD"/>
    <w:rsid w:val="0014699B"/>
    <w:rsid w:val="0014739A"/>
    <w:rsid w:val="0015490C"/>
    <w:rsid w:val="001573E2"/>
    <w:rsid w:val="0016278D"/>
    <w:rsid w:val="00164E5D"/>
    <w:rsid w:val="00165A8B"/>
    <w:rsid w:val="00171839"/>
    <w:rsid w:val="00181DCB"/>
    <w:rsid w:val="001872CE"/>
    <w:rsid w:val="00192A64"/>
    <w:rsid w:val="001937AD"/>
    <w:rsid w:val="001A08C0"/>
    <w:rsid w:val="001A26AE"/>
    <w:rsid w:val="001A2CB2"/>
    <w:rsid w:val="001A3A84"/>
    <w:rsid w:val="001B6AEC"/>
    <w:rsid w:val="001D0B84"/>
    <w:rsid w:val="001E2FC7"/>
    <w:rsid w:val="001E5E2A"/>
    <w:rsid w:val="001E6F4C"/>
    <w:rsid w:val="001F13C2"/>
    <w:rsid w:val="001F16AA"/>
    <w:rsid w:val="00200F3B"/>
    <w:rsid w:val="00203355"/>
    <w:rsid w:val="0020414E"/>
    <w:rsid w:val="00211005"/>
    <w:rsid w:val="0021309A"/>
    <w:rsid w:val="00215CBB"/>
    <w:rsid w:val="00217D41"/>
    <w:rsid w:val="002222A9"/>
    <w:rsid w:val="00222CA6"/>
    <w:rsid w:val="00232642"/>
    <w:rsid w:val="002341EB"/>
    <w:rsid w:val="00237697"/>
    <w:rsid w:val="002410EA"/>
    <w:rsid w:val="00250EDB"/>
    <w:rsid w:val="002511DF"/>
    <w:rsid w:val="00253209"/>
    <w:rsid w:val="00256E10"/>
    <w:rsid w:val="00256FC0"/>
    <w:rsid w:val="0026013D"/>
    <w:rsid w:val="00260413"/>
    <w:rsid w:val="00260EBC"/>
    <w:rsid w:val="00264710"/>
    <w:rsid w:val="00264A6E"/>
    <w:rsid w:val="00267567"/>
    <w:rsid w:val="00270B0A"/>
    <w:rsid w:val="00280121"/>
    <w:rsid w:val="00281FBE"/>
    <w:rsid w:val="0028626F"/>
    <w:rsid w:val="002874FE"/>
    <w:rsid w:val="00290D2E"/>
    <w:rsid w:val="00291E5B"/>
    <w:rsid w:val="00292715"/>
    <w:rsid w:val="002A591C"/>
    <w:rsid w:val="002B1E68"/>
    <w:rsid w:val="002B2AF8"/>
    <w:rsid w:val="002C0DF1"/>
    <w:rsid w:val="002C10E1"/>
    <w:rsid w:val="002C15EB"/>
    <w:rsid w:val="002C1660"/>
    <w:rsid w:val="002C35A2"/>
    <w:rsid w:val="002C4CA4"/>
    <w:rsid w:val="002C5345"/>
    <w:rsid w:val="002D56B7"/>
    <w:rsid w:val="002E04B7"/>
    <w:rsid w:val="002E0BAD"/>
    <w:rsid w:val="002E3DAD"/>
    <w:rsid w:val="002F2C60"/>
    <w:rsid w:val="002F4A14"/>
    <w:rsid w:val="00302B54"/>
    <w:rsid w:val="003043BF"/>
    <w:rsid w:val="00305856"/>
    <w:rsid w:val="00320073"/>
    <w:rsid w:val="00321EEA"/>
    <w:rsid w:val="003222B0"/>
    <w:rsid w:val="00323971"/>
    <w:rsid w:val="003262DF"/>
    <w:rsid w:val="00332951"/>
    <w:rsid w:val="0034682B"/>
    <w:rsid w:val="00356237"/>
    <w:rsid w:val="003614EE"/>
    <w:rsid w:val="0036288F"/>
    <w:rsid w:val="00365B10"/>
    <w:rsid w:val="00367BA7"/>
    <w:rsid w:val="00372082"/>
    <w:rsid w:val="003761C0"/>
    <w:rsid w:val="00381140"/>
    <w:rsid w:val="003812B2"/>
    <w:rsid w:val="00383CDB"/>
    <w:rsid w:val="00384EFD"/>
    <w:rsid w:val="0038595A"/>
    <w:rsid w:val="003879F9"/>
    <w:rsid w:val="00387A7E"/>
    <w:rsid w:val="003947E5"/>
    <w:rsid w:val="003976C7"/>
    <w:rsid w:val="003A035E"/>
    <w:rsid w:val="003A577F"/>
    <w:rsid w:val="003B0285"/>
    <w:rsid w:val="003B2474"/>
    <w:rsid w:val="003C07E3"/>
    <w:rsid w:val="003C659E"/>
    <w:rsid w:val="003E13CF"/>
    <w:rsid w:val="003E36FE"/>
    <w:rsid w:val="003E4F5E"/>
    <w:rsid w:val="003F5344"/>
    <w:rsid w:val="003F6126"/>
    <w:rsid w:val="003F7EDC"/>
    <w:rsid w:val="00404548"/>
    <w:rsid w:val="0041162E"/>
    <w:rsid w:val="004125D8"/>
    <w:rsid w:val="0041359A"/>
    <w:rsid w:val="00415D2F"/>
    <w:rsid w:val="004200EA"/>
    <w:rsid w:val="004238C8"/>
    <w:rsid w:val="0042786D"/>
    <w:rsid w:val="00427D00"/>
    <w:rsid w:val="00433C62"/>
    <w:rsid w:val="004528E1"/>
    <w:rsid w:val="00456F01"/>
    <w:rsid w:val="00472EF5"/>
    <w:rsid w:val="0048687C"/>
    <w:rsid w:val="00492564"/>
    <w:rsid w:val="0049318D"/>
    <w:rsid w:val="004A31B4"/>
    <w:rsid w:val="004A5A78"/>
    <w:rsid w:val="004A5F33"/>
    <w:rsid w:val="004A7038"/>
    <w:rsid w:val="004B1B27"/>
    <w:rsid w:val="004C1922"/>
    <w:rsid w:val="004C462F"/>
    <w:rsid w:val="004C6613"/>
    <w:rsid w:val="004D49E9"/>
    <w:rsid w:val="004E5379"/>
    <w:rsid w:val="004F2291"/>
    <w:rsid w:val="004F45AC"/>
    <w:rsid w:val="005026C5"/>
    <w:rsid w:val="00506C9D"/>
    <w:rsid w:val="005071DA"/>
    <w:rsid w:val="00515826"/>
    <w:rsid w:val="00517F15"/>
    <w:rsid w:val="0052114C"/>
    <w:rsid w:val="00523D82"/>
    <w:rsid w:val="00541A00"/>
    <w:rsid w:val="005444B2"/>
    <w:rsid w:val="00547A4A"/>
    <w:rsid w:val="00550514"/>
    <w:rsid w:val="00552F31"/>
    <w:rsid w:val="00552F8B"/>
    <w:rsid w:val="00561FE7"/>
    <w:rsid w:val="005643C0"/>
    <w:rsid w:val="00566737"/>
    <w:rsid w:val="00567153"/>
    <w:rsid w:val="00575348"/>
    <w:rsid w:val="005869C5"/>
    <w:rsid w:val="005912A8"/>
    <w:rsid w:val="005921EA"/>
    <w:rsid w:val="005924F5"/>
    <w:rsid w:val="00593F7B"/>
    <w:rsid w:val="00595C36"/>
    <w:rsid w:val="005A3C81"/>
    <w:rsid w:val="005A46FC"/>
    <w:rsid w:val="005A5680"/>
    <w:rsid w:val="005A6639"/>
    <w:rsid w:val="005A6914"/>
    <w:rsid w:val="005B3FFE"/>
    <w:rsid w:val="005B5FFD"/>
    <w:rsid w:val="005B6D05"/>
    <w:rsid w:val="005B7F9D"/>
    <w:rsid w:val="005C1519"/>
    <w:rsid w:val="005C1C4E"/>
    <w:rsid w:val="005C4994"/>
    <w:rsid w:val="005C4A16"/>
    <w:rsid w:val="005D66F3"/>
    <w:rsid w:val="005D68C6"/>
    <w:rsid w:val="005D7EE3"/>
    <w:rsid w:val="005E0056"/>
    <w:rsid w:val="005E50DE"/>
    <w:rsid w:val="005E5AC2"/>
    <w:rsid w:val="005E7569"/>
    <w:rsid w:val="005E76DA"/>
    <w:rsid w:val="005F47C2"/>
    <w:rsid w:val="005F7097"/>
    <w:rsid w:val="0060364A"/>
    <w:rsid w:val="00604FC8"/>
    <w:rsid w:val="006063F8"/>
    <w:rsid w:val="00617843"/>
    <w:rsid w:val="00620F34"/>
    <w:rsid w:val="00622A27"/>
    <w:rsid w:val="0062497F"/>
    <w:rsid w:val="00624C1B"/>
    <w:rsid w:val="00625471"/>
    <w:rsid w:val="0062661D"/>
    <w:rsid w:val="00627853"/>
    <w:rsid w:val="00632571"/>
    <w:rsid w:val="00634D0C"/>
    <w:rsid w:val="006401E7"/>
    <w:rsid w:val="0065148D"/>
    <w:rsid w:val="00652BCE"/>
    <w:rsid w:val="00652E29"/>
    <w:rsid w:val="00653617"/>
    <w:rsid w:val="00654D3B"/>
    <w:rsid w:val="00662F64"/>
    <w:rsid w:val="0067136B"/>
    <w:rsid w:val="006757F1"/>
    <w:rsid w:val="0068741F"/>
    <w:rsid w:val="00691208"/>
    <w:rsid w:val="006A23C4"/>
    <w:rsid w:val="006A475E"/>
    <w:rsid w:val="006A702E"/>
    <w:rsid w:val="006B1751"/>
    <w:rsid w:val="006B7A90"/>
    <w:rsid w:val="006C00BF"/>
    <w:rsid w:val="006C5F38"/>
    <w:rsid w:val="006C7ECC"/>
    <w:rsid w:val="006D11FB"/>
    <w:rsid w:val="006D5986"/>
    <w:rsid w:val="006D7D5A"/>
    <w:rsid w:val="006E4305"/>
    <w:rsid w:val="006F5763"/>
    <w:rsid w:val="00704BAB"/>
    <w:rsid w:val="007104D1"/>
    <w:rsid w:val="007135A6"/>
    <w:rsid w:val="00715A40"/>
    <w:rsid w:val="00715D5C"/>
    <w:rsid w:val="00724DB0"/>
    <w:rsid w:val="00726BD3"/>
    <w:rsid w:val="00730461"/>
    <w:rsid w:val="00733A73"/>
    <w:rsid w:val="00741D39"/>
    <w:rsid w:val="007434DB"/>
    <w:rsid w:val="00746FF2"/>
    <w:rsid w:val="007479AE"/>
    <w:rsid w:val="00761133"/>
    <w:rsid w:val="00764E84"/>
    <w:rsid w:val="007762F8"/>
    <w:rsid w:val="00783520"/>
    <w:rsid w:val="0078568D"/>
    <w:rsid w:val="007A02D3"/>
    <w:rsid w:val="007A18B1"/>
    <w:rsid w:val="007A5140"/>
    <w:rsid w:val="007B011E"/>
    <w:rsid w:val="007B073F"/>
    <w:rsid w:val="007C055A"/>
    <w:rsid w:val="007C1693"/>
    <w:rsid w:val="007C7DA8"/>
    <w:rsid w:val="007D0E84"/>
    <w:rsid w:val="007D681B"/>
    <w:rsid w:val="007E1D85"/>
    <w:rsid w:val="00803517"/>
    <w:rsid w:val="00804A48"/>
    <w:rsid w:val="008063A2"/>
    <w:rsid w:val="008106A7"/>
    <w:rsid w:val="00811031"/>
    <w:rsid w:val="0081154A"/>
    <w:rsid w:val="00814DFC"/>
    <w:rsid w:val="00820B36"/>
    <w:rsid w:val="00827BB2"/>
    <w:rsid w:val="008329DA"/>
    <w:rsid w:val="00832A7E"/>
    <w:rsid w:val="008330E7"/>
    <w:rsid w:val="008353A4"/>
    <w:rsid w:val="00837886"/>
    <w:rsid w:val="008407EF"/>
    <w:rsid w:val="008418F5"/>
    <w:rsid w:val="008451C8"/>
    <w:rsid w:val="0084538F"/>
    <w:rsid w:val="00847154"/>
    <w:rsid w:val="00862FA8"/>
    <w:rsid w:val="0086657B"/>
    <w:rsid w:val="00867907"/>
    <w:rsid w:val="0087104B"/>
    <w:rsid w:val="00881BDD"/>
    <w:rsid w:val="008832E5"/>
    <w:rsid w:val="008872AB"/>
    <w:rsid w:val="00891EB8"/>
    <w:rsid w:val="0089230B"/>
    <w:rsid w:val="0089401D"/>
    <w:rsid w:val="00895628"/>
    <w:rsid w:val="00896B8C"/>
    <w:rsid w:val="00897669"/>
    <w:rsid w:val="008C0181"/>
    <w:rsid w:val="008C6434"/>
    <w:rsid w:val="008D0681"/>
    <w:rsid w:val="008D0B8D"/>
    <w:rsid w:val="008D4451"/>
    <w:rsid w:val="008D5BE9"/>
    <w:rsid w:val="008D62B7"/>
    <w:rsid w:val="008E19AE"/>
    <w:rsid w:val="008E6895"/>
    <w:rsid w:val="008F0721"/>
    <w:rsid w:val="00900B3C"/>
    <w:rsid w:val="00901D66"/>
    <w:rsid w:val="00903B23"/>
    <w:rsid w:val="00904576"/>
    <w:rsid w:val="00904FB5"/>
    <w:rsid w:val="00905AEA"/>
    <w:rsid w:val="0091136C"/>
    <w:rsid w:val="009128A3"/>
    <w:rsid w:val="0092520D"/>
    <w:rsid w:val="00930D7D"/>
    <w:rsid w:val="0095047E"/>
    <w:rsid w:val="0095363B"/>
    <w:rsid w:val="00956101"/>
    <w:rsid w:val="00957BAF"/>
    <w:rsid w:val="00962CD6"/>
    <w:rsid w:val="00964486"/>
    <w:rsid w:val="00970C6C"/>
    <w:rsid w:val="00974EE1"/>
    <w:rsid w:val="0098045C"/>
    <w:rsid w:val="00980ED0"/>
    <w:rsid w:val="009832CC"/>
    <w:rsid w:val="00985916"/>
    <w:rsid w:val="00986783"/>
    <w:rsid w:val="00993674"/>
    <w:rsid w:val="00993A60"/>
    <w:rsid w:val="009A645B"/>
    <w:rsid w:val="009B014E"/>
    <w:rsid w:val="009C1431"/>
    <w:rsid w:val="009D53C4"/>
    <w:rsid w:val="009D67EC"/>
    <w:rsid w:val="009D71D5"/>
    <w:rsid w:val="009E2887"/>
    <w:rsid w:val="009E56D6"/>
    <w:rsid w:val="009E5CB9"/>
    <w:rsid w:val="009F07F5"/>
    <w:rsid w:val="009F22EA"/>
    <w:rsid w:val="009F31F2"/>
    <w:rsid w:val="009F45A5"/>
    <w:rsid w:val="009F5A85"/>
    <w:rsid w:val="009F72B0"/>
    <w:rsid w:val="00A01C2E"/>
    <w:rsid w:val="00A02BB2"/>
    <w:rsid w:val="00A04052"/>
    <w:rsid w:val="00A04E7F"/>
    <w:rsid w:val="00A0709E"/>
    <w:rsid w:val="00A074C5"/>
    <w:rsid w:val="00A07B7D"/>
    <w:rsid w:val="00A12563"/>
    <w:rsid w:val="00A2021D"/>
    <w:rsid w:val="00A2498C"/>
    <w:rsid w:val="00A26BB4"/>
    <w:rsid w:val="00A300B9"/>
    <w:rsid w:val="00A31019"/>
    <w:rsid w:val="00A4468C"/>
    <w:rsid w:val="00A65996"/>
    <w:rsid w:val="00A725C6"/>
    <w:rsid w:val="00A77907"/>
    <w:rsid w:val="00A803A1"/>
    <w:rsid w:val="00A8360A"/>
    <w:rsid w:val="00A84EA1"/>
    <w:rsid w:val="00A870E4"/>
    <w:rsid w:val="00AA4618"/>
    <w:rsid w:val="00AA5E2F"/>
    <w:rsid w:val="00AA7317"/>
    <w:rsid w:val="00AC2C0B"/>
    <w:rsid w:val="00AC4905"/>
    <w:rsid w:val="00AE6184"/>
    <w:rsid w:val="00AE7922"/>
    <w:rsid w:val="00AF056B"/>
    <w:rsid w:val="00AF1726"/>
    <w:rsid w:val="00B01011"/>
    <w:rsid w:val="00B05BD1"/>
    <w:rsid w:val="00B10089"/>
    <w:rsid w:val="00B21CF0"/>
    <w:rsid w:val="00B22E50"/>
    <w:rsid w:val="00B236EC"/>
    <w:rsid w:val="00B2586D"/>
    <w:rsid w:val="00B37C6A"/>
    <w:rsid w:val="00B448DA"/>
    <w:rsid w:val="00B46F30"/>
    <w:rsid w:val="00B577FD"/>
    <w:rsid w:val="00B608C1"/>
    <w:rsid w:val="00B60D3D"/>
    <w:rsid w:val="00B61D95"/>
    <w:rsid w:val="00B7231F"/>
    <w:rsid w:val="00B73FDA"/>
    <w:rsid w:val="00B740B0"/>
    <w:rsid w:val="00B747C6"/>
    <w:rsid w:val="00B75328"/>
    <w:rsid w:val="00B842B5"/>
    <w:rsid w:val="00B90A1E"/>
    <w:rsid w:val="00B91443"/>
    <w:rsid w:val="00B9187F"/>
    <w:rsid w:val="00B962F4"/>
    <w:rsid w:val="00BA2BF3"/>
    <w:rsid w:val="00BB111F"/>
    <w:rsid w:val="00BB3050"/>
    <w:rsid w:val="00BB7831"/>
    <w:rsid w:val="00BC31BC"/>
    <w:rsid w:val="00BC6167"/>
    <w:rsid w:val="00BC67DB"/>
    <w:rsid w:val="00BC6A01"/>
    <w:rsid w:val="00BD1158"/>
    <w:rsid w:val="00BD1BDB"/>
    <w:rsid w:val="00BE198F"/>
    <w:rsid w:val="00BE4435"/>
    <w:rsid w:val="00BE6B71"/>
    <w:rsid w:val="00C07BB3"/>
    <w:rsid w:val="00C153F2"/>
    <w:rsid w:val="00C2000E"/>
    <w:rsid w:val="00C25B7D"/>
    <w:rsid w:val="00C27BDD"/>
    <w:rsid w:val="00C34DF9"/>
    <w:rsid w:val="00C379C9"/>
    <w:rsid w:val="00C422B8"/>
    <w:rsid w:val="00C51261"/>
    <w:rsid w:val="00C566D6"/>
    <w:rsid w:val="00C71E57"/>
    <w:rsid w:val="00C764D9"/>
    <w:rsid w:val="00C77910"/>
    <w:rsid w:val="00C839ED"/>
    <w:rsid w:val="00C84299"/>
    <w:rsid w:val="00C8579D"/>
    <w:rsid w:val="00C92F14"/>
    <w:rsid w:val="00C9445A"/>
    <w:rsid w:val="00C94B98"/>
    <w:rsid w:val="00C97365"/>
    <w:rsid w:val="00C978F5"/>
    <w:rsid w:val="00CA0279"/>
    <w:rsid w:val="00CA4C1A"/>
    <w:rsid w:val="00CC08BA"/>
    <w:rsid w:val="00CC330A"/>
    <w:rsid w:val="00CC5727"/>
    <w:rsid w:val="00CC7DBD"/>
    <w:rsid w:val="00CD6935"/>
    <w:rsid w:val="00CE03ED"/>
    <w:rsid w:val="00CE5915"/>
    <w:rsid w:val="00CE7F7F"/>
    <w:rsid w:val="00CF3849"/>
    <w:rsid w:val="00D0233C"/>
    <w:rsid w:val="00D041C3"/>
    <w:rsid w:val="00D11462"/>
    <w:rsid w:val="00D14D61"/>
    <w:rsid w:val="00D22A47"/>
    <w:rsid w:val="00D24CD4"/>
    <w:rsid w:val="00D25CB4"/>
    <w:rsid w:val="00D275FC"/>
    <w:rsid w:val="00D3279D"/>
    <w:rsid w:val="00D3576E"/>
    <w:rsid w:val="00D43297"/>
    <w:rsid w:val="00D4340C"/>
    <w:rsid w:val="00D46B0B"/>
    <w:rsid w:val="00D55ED8"/>
    <w:rsid w:val="00D57A46"/>
    <w:rsid w:val="00D60C5A"/>
    <w:rsid w:val="00D70DB6"/>
    <w:rsid w:val="00D71716"/>
    <w:rsid w:val="00D723BC"/>
    <w:rsid w:val="00D72D25"/>
    <w:rsid w:val="00D76048"/>
    <w:rsid w:val="00D77D54"/>
    <w:rsid w:val="00D87D38"/>
    <w:rsid w:val="00D93C80"/>
    <w:rsid w:val="00D9686A"/>
    <w:rsid w:val="00D96A8F"/>
    <w:rsid w:val="00DA16F7"/>
    <w:rsid w:val="00DA2427"/>
    <w:rsid w:val="00DA7AF8"/>
    <w:rsid w:val="00DB406A"/>
    <w:rsid w:val="00DB45F9"/>
    <w:rsid w:val="00DB7FB0"/>
    <w:rsid w:val="00DC0D7B"/>
    <w:rsid w:val="00DD2AE0"/>
    <w:rsid w:val="00DD5E3A"/>
    <w:rsid w:val="00DE4FC7"/>
    <w:rsid w:val="00DF0E60"/>
    <w:rsid w:val="00DF11A7"/>
    <w:rsid w:val="00DF3381"/>
    <w:rsid w:val="00DF47EB"/>
    <w:rsid w:val="00E10FAB"/>
    <w:rsid w:val="00E211ED"/>
    <w:rsid w:val="00E2263D"/>
    <w:rsid w:val="00E271CB"/>
    <w:rsid w:val="00E301D0"/>
    <w:rsid w:val="00E317B2"/>
    <w:rsid w:val="00E33FE3"/>
    <w:rsid w:val="00E34FE3"/>
    <w:rsid w:val="00E47BE8"/>
    <w:rsid w:val="00E55D6C"/>
    <w:rsid w:val="00E57396"/>
    <w:rsid w:val="00E60B37"/>
    <w:rsid w:val="00E75FFF"/>
    <w:rsid w:val="00E81A1B"/>
    <w:rsid w:val="00E81A86"/>
    <w:rsid w:val="00E85A7A"/>
    <w:rsid w:val="00E8607B"/>
    <w:rsid w:val="00E91073"/>
    <w:rsid w:val="00E93583"/>
    <w:rsid w:val="00EA2F86"/>
    <w:rsid w:val="00EA303C"/>
    <w:rsid w:val="00EA5D5C"/>
    <w:rsid w:val="00EA6D39"/>
    <w:rsid w:val="00EB1D97"/>
    <w:rsid w:val="00EB32A3"/>
    <w:rsid w:val="00EB41C1"/>
    <w:rsid w:val="00EC480E"/>
    <w:rsid w:val="00EC4975"/>
    <w:rsid w:val="00EC4E42"/>
    <w:rsid w:val="00EE04FB"/>
    <w:rsid w:val="00EE3BB9"/>
    <w:rsid w:val="00EF3E34"/>
    <w:rsid w:val="00EF4C53"/>
    <w:rsid w:val="00EF66E1"/>
    <w:rsid w:val="00EF7E63"/>
    <w:rsid w:val="00F006F1"/>
    <w:rsid w:val="00F05540"/>
    <w:rsid w:val="00F07B7B"/>
    <w:rsid w:val="00F163A5"/>
    <w:rsid w:val="00F20F22"/>
    <w:rsid w:val="00F23B95"/>
    <w:rsid w:val="00F33B4F"/>
    <w:rsid w:val="00F34699"/>
    <w:rsid w:val="00F376AE"/>
    <w:rsid w:val="00F40388"/>
    <w:rsid w:val="00F42D3C"/>
    <w:rsid w:val="00F51CC2"/>
    <w:rsid w:val="00F5231F"/>
    <w:rsid w:val="00F56F75"/>
    <w:rsid w:val="00F6012B"/>
    <w:rsid w:val="00F63389"/>
    <w:rsid w:val="00F665E0"/>
    <w:rsid w:val="00F81D8A"/>
    <w:rsid w:val="00F91977"/>
    <w:rsid w:val="00F97B57"/>
    <w:rsid w:val="00FA4F7C"/>
    <w:rsid w:val="00FA504A"/>
    <w:rsid w:val="00FB0456"/>
    <w:rsid w:val="00FB2259"/>
    <w:rsid w:val="00FB23F7"/>
    <w:rsid w:val="00FB47F4"/>
    <w:rsid w:val="00FC17F4"/>
    <w:rsid w:val="00FC5186"/>
    <w:rsid w:val="00FD2B12"/>
    <w:rsid w:val="00FD2B9F"/>
    <w:rsid w:val="00FD3A41"/>
    <w:rsid w:val="00FD6FA9"/>
    <w:rsid w:val="00FD7880"/>
    <w:rsid w:val="00FE22FD"/>
    <w:rsid w:val="00FE5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B439B"/>
  <w15:docId w15:val="{1206EEC9-6BB3-4B27-8376-1481988F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576"/>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customStyle="1" w:styleId="12">
    <w:name w:val="Обычный (веб)1"/>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4">
    <w:name w:val="Balloon Text"/>
    <w:basedOn w:val="a"/>
    <w:link w:val="a5"/>
    <w:uiPriority w:val="99"/>
    <w:semiHidden/>
    <w:unhideWhenUsed/>
    <w:rsid w:val="001117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11788"/>
    <w:rPr>
      <w:rFonts w:ascii="Tahoma" w:hAnsi="Tahoma" w:cs="Tahoma"/>
      <w:sz w:val="16"/>
      <w:szCs w:val="16"/>
      <w:lang w:val="ru-RU"/>
    </w:rPr>
  </w:style>
  <w:style w:type="paragraph" w:styleId="a6">
    <w:name w:val="Body Text Indent"/>
    <w:basedOn w:val="a"/>
    <w:link w:val="a7"/>
    <w:rsid w:val="005A6914"/>
    <w:pPr>
      <w:spacing w:after="120" w:line="240" w:lineRule="auto"/>
      <w:ind w:left="283"/>
    </w:pPr>
    <w:rPr>
      <w:rFonts w:ascii="Times New Roman" w:eastAsia="Times New Roman" w:hAnsi="Times New Roman"/>
      <w:sz w:val="20"/>
      <w:szCs w:val="20"/>
      <w:lang w:eastAsia="ru-RU"/>
    </w:rPr>
  </w:style>
  <w:style w:type="character" w:customStyle="1" w:styleId="a7">
    <w:name w:val="Основной текст с отступом Знак"/>
    <w:link w:val="a6"/>
    <w:rsid w:val="005A6914"/>
    <w:rPr>
      <w:rFonts w:ascii="Times New Roman" w:eastAsia="Times New Roman" w:hAnsi="Times New Roman" w:cs="Times New Roman"/>
      <w:sz w:val="20"/>
      <w:szCs w:val="20"/>
      <w:lang w:val="ru-RU" w:eastAsia="ru-RU"/>
    </w:rPr>
  </w:style>
  <w:style w:type="paragraph" w:customStyle="1" w:styleId="13">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8">
    <w:name w:val="Body Text"/>
    <w:basedOn w:val="a"/>
    <w:link w:val="a9"/>
    <w:rsid w:val="00222CA6"/>
    <w:pPr>
      <w:spacing w:after="120" w:line="240" w:lineRule="auto"/>
    </w:pPr>
    <w:rPr>
      <w:rFonts w:ascii="Times New Roman" w:eastAsia="Times New Roman" w:hAnsi="Times New Roman"/>
      <w:sz w:val="20"/>
      <w:szCs w:val="20"/>
      <w:lang w:eastAsia="ru-RU"/>
    </w:rPr>
  </w:style>
  <w:style w:type="character" w:customStyle="1" w:styleId="a9">
    <w:name w:val="Основной текст Знак"/>
    <w:link w:val="a8"/>
    <w:rsid w:val="00222CA6"/>
    <w:rPr>
      <w:rFonts w:ascii="Times New Roman" w:eastAsia="Times New Roman" w:hAnsi="Times New Roman" w:cs="Times New Roman"/>
      <w:sz w:val="20"/>
      <w:szCs w:val="20"/>
      <w:lang w:val="ru-RU" w:eastAsia="ru-RU"/>
    </w:rPr>
  </w:style>
  <w:style w:type="paragraph" w:styleId="aa">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b">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c">
    <w:name w:val="Subtitle"/>
    <w:basedOn w:val="a"/>
    <w:link w:val="ad"/>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d">
    <w:name w:val="Подзаголовок Знак"/>
    <w:link w:val="ac"/>
    <w:rsid w:val="00D46B0B"/>
    <w:rPr>
      <w:rFonts w:ascii="Times New Roman" w:eastAsia="Times New Roman" w:hAnsi="Times New Roman" w:cs="Times New Roman"/>
      <w:b/>
      <w:sz w:val="28"/>
      <w:szCs w:val="20"/>
      <w:lang w:eastAsia="ru-RU"/>
    </w:rPr>
  </w:style>
  <w:style w:type="paragraph" w:customStyle="1" w:styleId="14">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e">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0">
    <w:name w:val="header"/>
    <w:basedOn w:val="a"/>
    <w:link w:val="af1"/>
    <w:uiPriority w:val="99"/>
    <w:unhideWhenUsed/>
    <w:rsid w:val="00D275FC"/>
    <w:pPr>
      <w:tabs>
        <w:tab w:val="center" w:pos="4677"/>
        <w:tab w:val="right" w:pos="9355"/>
      </w:tabs>
      <w:spacing w:after="0" w:line="240" w:lineRule="auto"/>
    </w:pPr>
  </w:style>
  <w:style w:type="character" w:customStyle="1" w:styleId="af1">
    <w:name w:val="Верхний колонтитул Знак"/>
    <w:link w:val="af0"/>
    <w:uiPriority w:val="99"/>
    <w:rsid w:val="00D275FC"/>
    <w:rPr>
      <w:lang w:val="ru-RU"/>
    </w:rPr>
  </w:style>
  <w:style w:type="paragraph" w:styleId="af2">
    <w:name w:val="footer"/>
    <w:basedOn w:val="a"/>
    <w:link w:val="af3"/>
    <w:uiPriority w:val="99"/>
    <w:unhideWhenUsed/>
    <w:rsid w:val="00D275FC"/>
    <w:pPr>
      <w:tabs>
        <w:tab w:val="center" w:pos="4677"/>
        <w:tab w:val="right" w:pos="9355"/>
      </w:tabs>
      <w:spacing w:after="0" w:line="240" w:lineRule="auto"/>
    </w:pPr>
  </w:style>
  <w:style w:type="character" w:customStyle="1" w:styleId="af3">
    <w:name w:val="Нижний колонтитул Знак"/>
    <w:link w:val="af2"/>
    <w:uiPriority w:val="99"/>
    <w:rsid w:val="00D275FC"/>
    <w:rPr>
      <w:lang w:val="ru-RU"/>
    </w:rPr>
  </w:style>
  <w:style w:type="paragraph" w:customStyle="1" w:styleId="15">
    <w:name w:val="Название1"/>
    <w:basedOn w:val="a"/>
    <w:next w:val="a"/>
    <w:link w:val="af4"/>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4">
    <w:name w:val="Название Знак"/>
    <w:link w:val="15"/>
    <w:uiPriority w:val="10"/>
    <w:rsid w:val="00900B3C"/>
    <w:rPr>
      <w:rFonts w:ascii="Consolas" w:eastAsia="Consolas" w:hAnsi="Consolas" w:cs="Consolas"/>
    </w:rPr>
  </w:style>
  <w:style w:type="character" w:styleId="af5">
    <w:name w:val="annotation reference"/>
    <w:uiPriority w:val="99"/>
    <w:rsid w:val="007D0E84"/>
    <w:rPr>
      <w:sz w:val="16"/>
      <w:szCs w:val="16"/>
    </w:rPr>
  </w:style>
  <w:style w:type="paragraph" w:styleId="af6">
    <w:name w:val="annotation text"/>
    <w:basedOn w:val="a"/>
    <w:link w:val="af7"/>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7">
    <w:name w:val="Текст примечания Знак"/>
    <w:link w:val="af6"/>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8">
    <w:name w:val="Table Grid"/>
    <w:basedOn w:val="a1"/>
    <w:uiPriority w:val="59"/>
    <w:rsid w:val="00DA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uiPriority w:val="99"/>
    <w:semiHidden/>
    <w:unhideWhenUsed/>
    <w:rsid w:val="00B84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yperlink" Target="mailto:bdrpharma@vsn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ndda.kz"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ffice.secretary@rogersgroup.i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F3491-C9FA-46B2-85FA-DF74D995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18758</Words>
  <Characters>106924</Characters>
  <Application>Microsoft Office Word</Application>
  <DocSecurity>0</DocSecurity>
  <Lines>891</Lines>
  <Paragraphs>250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125432</CharactersWithSpaces>
  <SharedDoc>false</SharedDoc>
  <HLinks>
    <vt:vector size="18" baseType="variant">
      <vt:variant>
        <vt:i4>7667774</vt:i4>
      </vt:variant>
      <vt:variant>
        <vt:i4>6</vt:i4>
      </vt:variant>
      <vt:variant>
        <vt:i4>0</vt:i4>
      </vt:variant>
      <vt:variant>
        <vt:i4>5</vt:i4>
      </vt:variant>
      <vt:variant>
        <vt:lpwstr>http://www.ndda.kz/</vt:lpwstr>
      </vt:variant>
      <vt:variant>
        <vt:lpwstr/>
      </vt:variant>
      <vt:variant>
        <vt:i4>4784187</vt:i4>
      </vt:variant>
      <vt:variant>
        <vt:i4>3</vt:i4>
      </vt:variant>
      <vt:variant>
        <vt:i4>0</vt:i4>
      </vt:variant>
      <vt:variant>
        <vt:i4>5</vt:i4>
      </vt:variant>
      <vt:variant>
        <vt:lpwstr>mailto:office.secretary@rogersgroup.in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2019-11-18T06:17:00Z</cp:lastPrinted>
  <dcterms:created xsi:type="dcterms:W3CDTF">2024-05-23T05:00:00Z</dcterms:created>
  <dcterms:modified xsi:type="dcterms:W3CDTF">2025-06-10T09:30:00Z</dcterms:modified>
</cp:coreProperties>
</file>